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4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369"/>
        <w:gridCol w:w="3023"/>
        <w:gridCol w:w="2330"/>
        <w:gridCol w:w="1015"/>
        <w:gridCol w:w="1508"/>
      </w:tblGrid>
      <w:tr w:rsidR="00AC2F0A" w:rsidRPr="00A960B6" w14:paraId="15900661" w14:textId="77777777" w:rsidTr="00BB1120">
        <w:trPr>
          <w:trHeight w:val="320"/>
          <w:tblCellSpacing w:w="20" w:type="dxa"/>
          <w:jc w:val="center"/>
        </w:trPr>
        <w:tc>
          <w:tcPr>
            <w:tcW w:w="10165" w:type="dxa"/>
            <w:gridSpan w:val="5"/>
            <w:shd w:val="clear" w:color="auto" w:fill="D9D9D9" w:themeFill="background1" w:themeFillShade="D9"/>
          </w:tcPr>
          <w:p w14:paraId="5C1E6831" w14:textId="672D2132" w:rsidR="00AC2F0A" w:rsidRPr="00A960B6" w:rsidRDefault="00AC2F0A" w:rsidP="00132C3D">
            <w:pPr>
              <w:pStyle w:val="TOC3"/>
              <w:tabs>
                <w:tab w:val="clear" w:pos="2138"/>
                <w:tab w:val="clear" w:pos="8505"/>
                <w:tab w:val="clear" w:pos="8788"/>
              </w:tabs>
              <w:spacing w:before="60" w:after="60" w:line="276" w:lineRule="auto"/>
              <w:ind w:left="0" w:right="34" w:firstLine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A960B6">
              <w:rPr>
                <w:b/>
                <w:bCs/>
                <w:sz w:val="20"/>
                <w:szCs w:val="20"/>
                <w:lang w:val="en-US"/>
              </w:rPr>
              <w:t xml:space="preserve">Certification </w:t>
            </w:r>
            <w:r w:rsidR="00CE7492" w:rsidRPr="00A960B6">
              <w:rPr>
                <w:b/>
                <w:bCs/>
                <w:sz w:val="20"/>
                <w:szCs w:val="20"/>
                <w:lang w:val="en-US"/>
              </w:rPr>
              <w:t>Regulation</w:t>
            </w:r>
            <w:r w:rsidRPr="00A960B6">
              <w:rPr>
                <w:b/>
                <w:bCs/>
                <w:sz w:val="20"/>
                <w:szCs w:val="20"/>
                <w:lang w:val="en-US"/>
              </w:rPr>
              <w:t xml:space="preserve"> for </w:t>
            </w:r>
            <w:r w:rsidR="00543D46">
              <w:rPr>
                <w:b/>
                <w:bCs/>
                <w:sz w:val="20"/>
                <w:szCs w:val="20"/>
                <w:lang w:val="en-US"/>
              </w:rPr>
              <w:t xml:space="preserve">the </w:t>
            </w:r>
            <w:r w:rsidR="00620785" w:rsidRPr="00620785">
              <w:rPr>
                <w:b/>
                <w:bCs/>
                <w:sz w:val="20"/>
                <w:szCs w:val="20"/>
                <w:lang w:val="en-US"/>
              </w:rPr>
              <w:t>ESTA</w:t>
            </w:r>
            <w:r w:rsidR="00620785">
              <w:rPr>
                <w:b/>
                <w:bCs/>
                <w:sz w:val="20"/>
                <w:szCs w:val="20"/>
                <w:lang w:val="en-US"/>
              </w:rPr>
              <w:t xml:space="preserve"> Standard</w:t>
            </w:r>
          </w:p>
        </w:tc>
      </w:tr>
      <w:tr w:rsidR="001711E4" w:rsidRPr="00A960B6" w14:paraId="5FB34384" w14:textId="77777777" w:rsidTr="00A00A19">
        <w:trPr>
          <w:tblCellSpacing w:w="20" w:type="dxa"/>
          <w:jc w:val="center"/>
        </w:trPr>
        <w:tc>
          <w:tcPr>
            <w:tcW w:w="2308" w:type="dxa"/>
            <w:shd w:val="clear" w:color="auto" w:fill="D9D9D9" w:themeFill="background1" w:themeFillShade="D9"/>
          </w:tcPr>
          <w:p w14:paraId="51518444" w14:textId="26447A29" w:rsidR="001711E4" w:rsidRPr="00A960B6" w:rsidRDefault="001711E4" w:rsidP="001711E4">
            <w:pPr>
              <w:pStyle w:val="TOC3"/>
              <w:tabs>
                <w:tab w:val="clear" w:pos="2138"/>
                <w:tab w:val="clear" w:pos="8505"/>
                <w:tab w:val="clear" w:pos="8788"/>
              </w:tabs>
              <w:spacing w:before="120" w:after="120" w:line="276" w:lineRule="auto"/>
              <w:ind w:left="0" w:right="34" w:firstLine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506105">
              <w:rPr>
                <w:b/>
                <w:bCs/>
                <w:sz w:val="20"/>
                <w:szCs w:val="20"/>
                <w:lang w:val="en-US"/>
              </w:rPr>
              <w:t>Standard or Certification scheme:</w:t>
            </w:r>
          </w:p>
        </w:tc>
        <w:tc>
          <w:tcPr>
            <w:tcW w:w="2964" w:type="dxa"/>
            <w:shd w:val="clear" w:color="auto" w:fill="F2F2F2" w:themeFill="background1" w:themeFillShade="F2"/>
            <w:vAlign w:val="center"/>
          </w:tcPr>
          <w:p w14:paraId="5FDE7E46" w14:textId="5FBEEED1" w:rsidR="001711E4" w:rsidRPr="00A960B6" w:rsidRDefault="001711E4" w:rsidP="001711E4">
            <w:pPr>
              <w:pStyle w:val="TOC3"/>
              <w:tabs>
                <w:tab w:val="clear" w:pos="2138"/>
                <w:tab w:val="clear" w:pos="8505"/>
                <w:tab w:val="clear" w:pos="8788"/>
              </w:tabs>
              <w:ind w:left="0" w:right="34" w:firstLine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ESTA (</w:t>
            </w:r>
            <w:r w:rsidRPr="001D08EF">
              <w:rPr>
                <w:sz w:val="20"/>
                <w:szCs w:val="20"/>
                <w:lang w:val="en-US"/>
              </w:rPr>
              <w:t>European Seed Treatment Assurance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279" w:type="dxa"/>
            <w:gridSpan w:val="2"/>
            <w:shd w:val="clear" w:color="auto" w:fill="D9D9D9" w:themeFill="background1" w:themeFillShade="D9"/>
            <w:vAlign w:val="center"/>
          </w:tcPr>
          <w:p w14:paraId="759F1E51" w14:textId="3EC91BC5" w:rsidR="001711E4" w:rsidRPr="00A960B6" w:rsidRDefault="001711E4" w:rsidP="001711E4">
            <w:pPr>
              <w:pStyle w:val="TOC3"/>
              <w:tabs>
                <w:tab w:val="clear" w:pos="2138"/>
                <w:tab w:val="clear" w:pos="8505"/>
                <w:tab w:val="clear" w:pos="8788"/>
              </w:tabs>
              <w:spacing w:before="120" w:after="120" w:line="276" w:lineRule="auto"/>
              <w:ind w:left="0" w:right="34" w:firstLine="0"/>
              <w:jc w:val="both"/>
              <w:rPr>
                <w:b/>
                <w:bCs/>
                <w:sz w:val="20"/>
                <w:szCs w:val="20"/>
              </w:rPr>
            </w:pPr>
            <w:r w:rsidRPr="00506105">
              <w:rPr>
                <w:b/>
                <w:bCs/>
                <w:sz w:val="20"/>
                <w:szCs w:val="20"/>
                <w:lang w:val="en-US"/>
              </w:rPr>
              <w:t>Accreditation Standard</w:t>
            </w:r>
            <w:r w:rsidRPr="00506105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494" w:type="dxa"/>
            <w:shd w:val="clear" w:color="auto" w:fill="F2F2F2" w:themeFill="background1" w:themeFillShade="F2"/>
            <w:vAlign w:val="center"/>
          </w:tcPr>
          <w:p w14:paraId="745AEFED" w14:textId="2D2560D1" w:rsidR="001711E4" w:rsidRPr="00A960B6" w:rsidRDefault="001711E4" w:rsidP="001711E4">
            <w:pPr>
              <w:pStyle w:val="TOC3"/>
              <w:tabs>
                <w:tab w:val="clear" w:pos="2138"/>
                <w:tab w:val="clear" w:pos="8505"/>
                <w:tab w:val="clear" w:pos="8788"/>
              </w:tabs>
              <w:ind w:left="0" w:right="34" w:firstLine="0"/>
              <w:jc w:val="both"/>
              <w:rPr>
                <w:b/>
                <w:bCs/>
                <w:sz w:val="20"/>
                <w:szCs w:val="20"/>
              </w:rPr>
            </w:pPr>
            <w:r w:rsidRPr="006A2EC0">
              <w:rPr>
                <w:sz w:val="20"/>
                <w:szCs w:val="20"/>
              </w:rPr>
              <w:t>N/A</w:t>
            </w:r>
          </w:p>
        </w:tc>
      </w:tr>
      <w:tr w:rsidR="00AC2F0A" w:rsidRPr="00A960B6" w14:paraId="54B251C0" w14:textId="77777777" w:rsidTr="00BF7801">
        <w:trPr>
          <w:tblCellSpacing w:w="20" w:type="dxa"/>
          <w:jc w:val="center"/>
        </w:trPr>
        <w:tc>
          <w:tcPr>
            <w:tcW w:w="2308" w:type="dxa"/>
            <w:shd w:val="clear" w:color="auto" w:fill="D9D9D9" w:themeFill="background1" w:themeFillShade="D9"/>
          </w:tcPr>
          <w:p w14:paraId="7B3218DC" w14:textId="77777777" w:rsidR="00AC2F0A" w:rsidRPr="00A960B6" w:rsidRDefault="00AC2F0A" w:rsidP="00132C3D">
            <w:pPr>
              <w:pStyle w:val="TOC3"/>
              <w:tabs>
                <w:tab w:val="clear" w:pos="2138"/>
                <w:tab w:val="clear" w:pos="8505"/>
                <w:tab w:val="clear" w:pos="8788"/>
              </w:tabs>
              <w:spacing w:before="0" w:after="0" w:line="276" w:lineRule="auto"/>
              <w:ind w:left="0" w:right="34" w:firstLine="0"/>
              <w:jc w:val="both"/>
              <w:rPr>
                <w:b/>
                <w:bCs/>
                <w:sz w:val="20"/>
                <w:szCs w:val="20"/>
              </w:rPr>
            </w:pPr>
            <w:r w:rsidRPr="00A960B6">
              <w:rPr>
                <w:b/>
                <w:bCs/>
                <w:sz w:val="20"/>
                <w:szCs w:val="20"/>
                <w:lang w:val="en-US"/>
              </w:rPr>
              <w:t>Certification Cycle</w:t>
            </w:r>
            <w:r w:rsidRPr="00A960B6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17" w:type="dxa"/>
            <w:gridSpan w:val="4"/>
            <w:shd w:val="clear" w:color="auto" w:fill="auto"/>
          </w:tcPr>
          <w:p w14:paraId="3C656960" w14:textId="4B0DDF09" w:rsidR="00E531B3" w:rsidRDefault="00A960B6" w:rsidP="00E531B3">
            <w:pPr>
              <w:pStyle w:val="BodyTextIndent3"/>
              <w:spacing w:after="0" w:line="276" w:lineRule="auto"/>
              <w:ind w:left="0"/>
              <w:rPr>
                <w:rFonts w:cs="Arial"/>
                <w:sz w:val="20"/>
                <w:szCs w:val="20"/>
              </w:rPr>
            </w:pPr>
            <w:r w:rsidRPr="00A960B6">
              <w:rPr>
                <w:rFonts w:cs="Arial"/>
                <w:sz w:val="20"/>
                <w:szCs w:val="20"/>
                <w:lang w:val="en-US"/>
              </w:rPr>
              <w:t>The certificate is valid for three</w:t>
            </w:r>
            <w:r w:rsidR="000F113E">
              <w:rPr>
                <w:rFonts w:cs="Arial"/>
                <w:sz w:val="20"/>
                <w:szCs w:val="20"/>
                <w:lang w:val="en-US"/>
              </w:rPr>
              <w:t xml:space="preserve"> (3)</w:t>
            </w:r>
            <w:r w:rsidRPr="00A960B6">
              <w:rPr>
                <w:rFonts w:cs="Arial"/>
                <w:sz w:val="20"/>
                <w:szCs w:val="20"/>
                <w:lang w:val="en-US"/>
              </w:rPr>
              <w:t xml:space="preserve"> years</w:t>
            </w:r>
            <w:r w:rsidR="00E531B3">
              <w:rPr>
                <w:rFonts w:cs="Arial"/>
                <w:sz w:val="20"/>
                <w:szCs w:val="20"/>
                <w:lang w:val="en-US"/>
              </w:rPr>
              <w:t xml:space="preserve"> starting from the issuance date</w:t>
            </w:r>
            <w:r w:rsidRPr="00A960B6">
              <w:rPr>
                <w:rFonts w:cs="Arial"/>
                <w:sz w:val="20"/>
                <w:szCs w:val="20"/>
                <w:lang w:val="en-US"/>
              </w:rPr>
              <w:t xml:space="preserve">. To maintain the validity of the certificate, annual surveillance audits shall be carried out. Before the expiration date of the certificate, a recertification audit is conducted in order to renew the validity of the certificate for the next </w:t>
            </w:r>
            <w:r w:rsidR="000F113E" w:rsidRPr="00A960B6">
              <w:rPr>
                <w:rFonts w:cs="Arial"/>
                <w:sz w:val="20"/>
                <w:szCs w:val="20"/>
                <w:lang w:val="en-US"/>
              </w:rPr>
              <w:t>three-year</w:t>
            </w:r>
            <w:r w:rsidRPr="00A960B6">
              <w:rPr>
                <w:rFonts w:cs="Arial"/>
                <w:sz w:val="20"/>
                <w:szCs w:val="20"/>
                <w:lang w:val="en-US"/>
              </w:rPr>
              <w:t xml:space="preserve"> cycle. </w:t>
            </w:r>
          </w:p>
          <w:p w14:paraId="68ECCC9D" w14:textId="4C7D5078" w:rsidR="00AC2F0A" w:rsidRPr="00A960B6" w:rsidRDefault="00A960B6" w:rsidP="00E531B3">
            <w:pPr>
              <w:spacing w:after="12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960B6">
              <w:rPr>
                <w:rFonts w:ascii="Arial" w:eastAsia="Calibri" w:hAnsi="Arial" w:cs="Arial"/>
                <w:sz w:val="20"/>
                <w:szCs w:val="20"/>
                <w:u w:val="single"/>
              </w:rPr>
              <w:t xml:space="preserve">Audit planning and </w:t>
            </w:r>
            <w:r w:rsidR="00E531B3" w:rsidRPr="00A960B6">
              <w:rPr>
                <w:rFonts w:ascii="Arial" w:eastAsia="Calibri" w:hAnsi="Arial" w:cs="Arial"/>
                <w:sz w:val="20"/>
                <w:szCs w:val="20"/>
                <w:u w:val="single"/>
              </w:rPr>
              <w:t>timetable</w:t>
            </w:r>
            <w:r w:rsidR="00440410">
              <w:rPr>
                <w:rFonts w:ascii="Arial" w:eastAsia="Calibri" w:hAnsi="Arial" w:cs="Arial"/>
                <w:sz w:val="20"/>
                <w:szCs w:val="20"/>
                <w:u w:val="single"/>
              </w:rPr>
              <w:t>:</w:t>
            </w:r>
            <w:r w:rsidR="00440410" w:rsidRPr="00D30F0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531B3" w:rsidRPr="00E531B3">
              <w:rPr>
                <w:rFonts w:ascii="Arial" w:eastAsia="Calibri" w:hAnsi="Arial" w:cs="Arial"/>
                <w:sz w:val="20"/>
                <w:szCs w:val="20"/>
              </w:rPr>
              <w:t>After th</w:t>
            </w:r>
            <w:r w:rsidR="00E531B3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E531B3" w:rsidRPr="00E531B3">
              <w:rPr>
                <w:rFonts w:ascii="Arial" w:eastAsia="Calibri" w:hAnsi="Arial" w:cs="Arial"/>
                <w:sz w:val="20"/>
                <w:szCs w:val="20"/>
              </w:rPr>
              <w:t xml:space="preserve"> initial evaluation at least two (2) annual verification audits are required. The first annual verification audit can be scheduled six (6) months at the earliest and </w:t>
            </w:r>
            <w:r w:rsidR="00E531B3">
              <w:rPr>
                <w:rFonts w:ascii="Arial" w:eastAsia="Calibri" w:hAnsi="Arial" w:cs="Arial"/>
                <w:sz w:val="20"/>
                <w:szCs w:val="20"/>
              </w:rPr>
              <w:t>eighteen (</w:t>
            </w:r>
            <w:r w:rsidR="00E531B3" w:rsidRPr="00E531B3">
              <w:rPr>
                <w:rFonts w:ascii="Arial" w:eastAsia="Calibri" w:hAnsi="Arial" w:cs="Arial"/>
                <w:sz w:val="20"/>
                <w:szCs w:val="20"/>
              </w:rPr>
              <w:t>18</w:t>
            </w:r>
            <w:r w:rsidR="00E531B3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E531B3" w:rsidRPr="00E531B3">
              <w:rPr>
                <w:rFonts w:ascii="Arial" w:eastAsia="Calibri" w:hAnsi="Arial" w:cs="Arial"/>
                <w:sz w:val="20"/>
                <w:szCs w:val="20"/>
              </w:rPr>
              <w:t xml:space="preserve"> months at the latest after the “birthday” of the certificate. The second annual verification audit can be scheduled as of </w:t>
            </w:r>
            <w:r w:rsidR="00E531B3">
              <w:rPr>
                <w:rFonts w:ascii="Arial" w:eastAsia="Calibri" w:hAnsi="Arial" w:cs="Arial"/>
                <w:sz w:val="20"/>
                <w:szCs w:val="20"/>
              </w:rPr>
              <w:t>ninety (</w:t>
            </w:r>
            <w:r w:rsidR="00E531B3" w:rsidRPr="00E531B3">
              <w:rPr>
                <w:rFonts w:ascii="Arial" w:eastAsia="Calibri" w:hAnsi="Arial" w:cs="Arial"/>
                <w:sz w:val="20"/>
                <w:szCs w:val="20"/>
              </w:rPr>
              <w:t>90</w:t>
            </w:r>
            <w:r w:rsidR="00E531B3">
              <w:rPr>
                <w:rFonts w:ascii="Arial" w:eastAsia="Calibri" w:hAnsi="Arial" w:cs="Arial"/>
                <w:sz w:val="20"/>
                <w:szCs w:val="20"/>
              </w:rPr>
              <w:t>)</w:t>
            </w:r>
            <w:r w:rsidR="00E531B3" w:rsidRPr="00E531B3">
              <w:rPr>
                <w:rFonts w:ascii="Arial" w:eastAsia="Calibri" w:hAnsi="Arial" w:cs="Arial"/>
                <w:sz w:val="20"/>
                <w:szCs w:val="20"/>
              </w:rPr>
              <w:t xml:space="preserve"> days prior to the expiration of the certificate</w:t>
            </w:r>
            <w:r w:rsidRPr="00A960B6">
              <w:rPr>
                <w:rFonts w:ascii="Arial" w:eastAsia="Calibri" w:hAnsi="Arial" w:cs="Arial"/>
                <w:sz w:val="20"/>
                <w:szCs w:val="20"/>
              </w:rPr>
              <w:t>. Example</w:t>
            </w:r>
            <w:r w:rsidR="00AC2F0A" w:rsidRPr="00A960B6">
              <w:rPr>
                <w:rFonts w:ascii="Arial" w:eastAsia="Calibri" w:hAnsi="Arial" w:cs="Arial"/>
                <w:sz w:val="20"/>
                <w:szCs w:val="20"/>
              </w:rPr>
              <w:t>:</w:t>
            </w:r>
          </w:p>
          <w:tbl>
            <w:tblPr>
              <w:tblW w:w="7926" w:type="dxa"/>
              <w:tblCellSpacing w:w="20" w:type="dxa"/>
              <w:tblBorders>
                <w:top w:val="inset" w:sz="6" w:space="0" w:color="auto"/>
                <w:left w:val="inset" w:sz="6" w:space="0" w:color="auto"/>
                <w:bottom w:val="inset" w:sz="6" w:space="0" w:color="auto"/>
                <w:right w:val="inset" w:sz="6" w:space="0" w:color="auto"/>
                <w:insideH w:val="inset" w:sz="6" w:space="0" w:color="auto"/>
                <w:insideV w:val="inset" w:sz="6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1900"/>
              <w:gridCol w:w="1984"/>
              <w:gridCol w:w="1701"/>
              <w:gridCol w:w="2341"/>
            </w:tblGrid>
            <w:tr w:rsidR="0053233F" w:rsidRPr="00A960B6" w14:paraId="2EDE1504" w14:textId="77777777" w:rsidTr="007C7D03">
              <w:trPr>
                <w:trHeight w:val="727"/>
                <w:tblCellSpacing w:w="20" w:type="dxa"/>
              </w:trPr>
              <w:tc>
                <w:tcPr>
                  <w:tcW w:w="1840" w:type="dxa"/>
                  <w:shd w:val="clear" w:color="auto" w:fill="F2F2F2" w:themeFill="background1" w:themeFillShade="F2"/>
                </w:tcPr>
                <w:p w14:paraId="36C8CB4A" w14:textId="77777777" w:rsidR="0053233F" w:rsidRPr="00A960B6" w:rsidRDefault="0053233F" w:rsidP="00132C3D">
                  <w:pPr>
                    <w:spacing w:after="0"/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A960B6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Certification Decision </w:t>
                  </w:r>
                </w:p>
              </w:tc>
              <w:tc>
                <w:tcPr>
                  <w:tcW w:w="1944" w:type="dxa"/>
                  <w:shd w:val="clear" w:color="auto" w:fill="F2F2F2" w:themeFill="background1" w:themeFillShade="F2"/>
                </w:tcPr>
                <w:p w14:paraId="502BA4EE" w14:textId="77777777" w:rsidR="0053233F" w:rsidRPr="00A960B6" w:rsidRDefault="0053233F" w:rsidP="00132C3D">
                  <w:pPr>
                    <w:spacing w:after="0"/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A960B6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1</w:t>
                  </w:r>
                  <w:r w:rsidRPr="00A960B6">
                    <w:rPr>
                      <w:rFonts w:ascii="Arial" w:eastAsia="Calibri" w:hAnsi="Arial" w:cs="Arial"/>
                      <w:b/>
                      <w:sz w:val="20"/>
                      <w:szCs w:val="20"/>
                      <w:vertAlign w:val="superscript"/>
                    </w:rPr>
                    <w:t>st</w:t>
                  </w:r>
                  <w:r w:rsidRPr="00A960B6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Surveillance audit</w:t>
                  </w:r>
                </w:p>
              </w:tc>
              <w:tc>
                <w:tcPr>
                  <w:tcW w:w="1661" w:type="dxa"/>
                  <w:shd w:val="clear" w:color="auto" w:fill="F2F2F2" w:themeFill="background1" w:themeFillShade="F2"/>
                </w:tcPr>
                <w:p w14:paraId="35633081" w14:textId="30E89A74" w:rsidR="0053233F" w:rsidRPr="00A960B6" w:rsidRDefault="0053233F" w:rsidP="00132C3D">
                  <w:pPr>
                    <w:spacing w:after="0"/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A960B6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2</w:t>
                  </w:r>
                  <w:r w:rsidRPr="00A960B6">
                    <w:rPr>
                      <w:rFonts w:ascii="Arial" w:eastAsia="Calibri" w:hAnsi="Arial" w:cs="Arial"/>
                      <w:b/>
                      <w:sz w:val="20"/>
                      <w:szCs w:val="20"/>
                      <w:vertAlign w:val="superscript"/>
                    </w:rPr>
                    <w:t>nd</w:t>
                  </w:r>
                  <w:r w:rsidRPr="00A960B6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Surveillance</w:t>
                  </w:r>
                  <w:r w:rsidR="007C7D03" w:rsidRPr="00A960B6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281" w:type="dxa"/>
                  <w:shd w:val="clear" w:color="auto" w:fill="F2F2F2" w:themeFill="background1" w:themeFillShade="F2"/>
                </w:tcPr>
                <w:p w14:paraId="394889DF" w14:textId="77777777" w:rsidR="0053233F" w:rsidRPr="00A960B6" w:rsidRDefault="0053233F" w:rsidP="00132C3D">
                  <w:pPr>
                    <w:spacing w:after="0"/>
                    <w:jc w:val="both"/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</w:pPr>
                  <w:r w:rsidRPr="00A960B6">
                    <w:rPr>
                      <w:rFonts w:ascii="Arial" w:eastAsia="Calibri" w:hAnsi="Arial" w:cs="Arial"/>
                      <w:b/>
                      <w:sz w:val="20"/>
                      <w:szCs w:val="20"/>
                    </w:rPr>
                    <w:t>Re-certification audit</w:t>
                  </w:r>
                </w:p>
              </w:tc>
            </w:tr>
            <w:tr w:rsidR="0053233F" w:rsidRPr="00A960B6" w14:paraId="7FD81CE2" w14:textId="77777777" w:rsidTr="007C7D03">
              <w:trPr>
                <w:trHeight w:val="453"/>
                <w:tblCellSpacing w:w="20" w:type="dxa"/>
              </w:trPr>
              <w:tc>
                <w:tcPr>
                  <w:tcW w:w="1840" w:type="dxa"/>
                  <w:shd w:val="clear" w:color="auto" w:fill="FFFFFF" w:themeFill="background1"/>
                </w:tcPr>
                <w:p w14:paraId="18D90E9A" w14:textId="535E27D3" w:rsidR="0053233F" w:rsidRPr="00A960B6" w:rsidRDefault="0053233F" w:rsidP="00132C3D">
                  <w:pPr>
                    <w:spacing w:after="0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</w:pPr>
                  <w:r w:rsidRPr="00A960B6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15/7/202</w:t>
                  </w:r>
                  <w:r w:rsidR="00403163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944" w:type="dxa"/>
                  <w:shd w:val="clear" w:color="auto" w:fill="FFFFFF" w:themeFill="background1"/>
                </w:tcPr>
                <w:p w14:paraId="5A11DCBF" w14:textId="27E846C1" w:rsidR="0053233F" w:rsidRPr="00A960B6" w:rsidRDefault="0053233F" w:rsidP="00132C3D">
                  <w:pPr>
                    <w:spacing w:after="0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</w:pPr>
                  <w:r w:rsidRPr="00A960B6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15/7/202</w:t>
                  </w:r>
                  <w:r w:rsidR="00403163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661" w:type="dxa"/>
                  <w:shd w:val="clear" w:color="auto" w:fill="FFFFFF" w:themeFill="background1"/>
                </w:tcPr>
                <w:p w14:paraId="7A4E6B11" w14:textId="4B2B1361" w:rsidR="0053233F" w:rsidRPr="00A960B6" w:rsidRDefault="00403163" w:rsidP="00132C3D">
                  <w:pPr>
                    <w:tabs>
                      <w:tab w:val="left" w:pos="991"/>
                    </w:tabs>
                    <w:spacing w:after="0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</w:pPr>
                  <w:r w:rsidRPr="00403163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1</w:t>
                  </w:r>
                  <w:r w:rsidR="00B42D12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5</w:t>
                  </w:r>
                  <w:r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/</w:t>
                  </w:r>
                  <w:r w:rsidR="00B42D12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7</w:t>
                  </w:r>
                  <w:r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/</w:t>
                  </w:r>
                  <w:r w:rsidRPr="00403163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202</w:t>
                  </w:r>
                  <w:r w:rsidR="00B42D12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281" w:type="dxa"/>
                  <w:shd w:val="clear" w:color="auto" w:fill="FFFFFF" w:themeFill="background1"/>
                </w:tcPr>
                <w:p w14:paraId="2D6E69A8" w14:textId="06C9FAD6" w:rsidR="0053233F" w:rsidRPr="00A960B6" w:rsidRDefault="0053233F" w:rsidP="00132C3D">
                  <w:pPr>
                    <w:spacing w:after="0"/>
                    <w:jc w:val="both"/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</w:pPr>
                  <w:r w:rsidRPr="00A960B6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15/7/202</w:t>
                  </w:r>
                  <w:r w:rsidR="00403163">
                    <w:rPr>
                      <w:rFonts w:ascii="Arial" w:eastAsia="Calibri" w:hAnsi="Arial" w:cs="Arial"/>
                      <w:i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49CCE677" w14:textId="75CD2761" w:rsidR="00E531B3" w:rsidRPr="00A960B6" w:rsidRDefault="00440410" w:rsidP="00440410">
            <w:pPr>
              <w:pStyle w:val="BodyTextIndent3"/>
              <w:spacing w:after="0" w:line="276" w:lineRule="auto"/>
              <w:ind w:left="0"/>
              <w:rPr>
                <w:rFonts w:cs="Arial"/>
                <w:sz w:val="20"/>
                <w:szCs w:val="20"/>
                <w:lang w:val="en-US"/>
              </w:rPr>
            </w:pPr>
            <w:r w:rsidRPr="00814F38">
              <w:rPr>
                <w:rFonts w:cs="Arial"/>
                <w:sz w:val="20"/>
                <w:szCs w:val="20"/>
                <w:u w:val="single"/>
                <w:lang w:val="en-US"/>
              </w:rPr>
              <w:t>Remote Audit: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531B3" w:rsidRPr="00E531B3">
              <w:rPr>
                <w:rFonts w:cs="Arial"/>
                <w:sz w:val="20"/>
                <w:szCs w:val="20"/>
                <w:lang w:val="en-US"/>
              </w:rPr>
              <w:t>Following Risk Analysis, remote or desk audit can be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E531B3" w:rsidRPr="00E531B3">
              <w:rPr>
                <w:rFonts w:cs="Arial"/>
                <w:sz w:val="20"/>
                <w:szCs w:val="20"/>
                <w:lang w:val="en-US"/>
              </w:rPr>
              <w:t>allowed once within a certification cycle.</w:t>
            </w:r>
          </w:p>
        </w:tc>
      </w:tr>
      <w:tr w:rsidR="007742BC" w:rsidRPr="00482127" w14:paraId="405E7AF9" w14:textId="77777777" w:rsidTr="00A00A19">
        <w:trPr>
          <w:tblCellSpacing w:w="20" w:type="dxa"/>
          <w:jc w:val="center"/>
        </w:trPr>
        <w:tc>
          <w:tcPr>
            <w:tcW w:w="2308" w:type="dxa"/>
            <w:vMerge w:val="restart"/>
            <w:shd w:val="clear" w:color="auto" w:fill="D9D9D9" w:themeFill="background1" w:themeFillShade="D9"/>
          </w:tcPr>
          <w:p w14:paraId="08AC0DDA" w14:textId="4137DCD1" w:rsidR="007742BC" w:rsidRPr="00A960B6" w:rsidRDefault="007742BC" w:rsidP="006C04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60B6">
              <w:rPr>
                <w:rFonts w:ascii="Arial" w:hAnsi="Arial" w:cs="Arial"/>
                <w:b/>
                <w:bCs/>
                <w:sz w:val="20"/>
                <w:szCs w:val="20"/>
              </w:rPr>
              <w:t>Audit Evaluation Criteria /  Characterization of Non Conformities:</w:t>
            </w:r>
          </w:p>
        </w:tc>
        <w:tc>
          <w:tcPr>
            <w:tcW w:w="5170" w:type="dxa"/>
            <w:gridSpan w:val="2"/>
            <w:shd w:val="clear" w:color="auto" w:fill="auto"/>
          </w:tcPr>
          <w:p w14:paraId="70B93713" w14:textId="69EEA90D" w:rsidR="007742BC" w:rsidRPr="00A960B6" w:rsidRDefault="007742BC" w:rsidP="00BF7801">
            <w:pPr>
              <w:pStyle w:val="BodyTextIndent3"/>
              <w:spacing w:after="0"/>
              <w:ind w:left="0"/>
              <w:rPr>
                <w:rFonts w:cs="Arial"/>
                <w:sz w:val="20"/>
                <w:szCs w:val="20"/>
                <w:lang w:val="en-US"/>
              </w:rPr>
            </w:pPr>
            <w:r w:rsidRPr="00921C85">
              <w:rPr>
                <w:rFonts w:cs="Arial"/>
                <w:b/>
                <w:sz w:val="20"/>
                <w:szCs w:val="20"/>
                <w:lang w:val="en-US"/>
              </w:rPr>
              <w:t>1:</w:t>
            </w:r>
            <w:r w:rsidRPr="00921C85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BF7801" w:rsidRPr="00BF7801">
              <w:rPr>
                <w:rFonts w:cs="Arial"/>
                <w:sz w:val="20"/>
                <w:szCs w:val="20"/>
              </w:rPr>
              <w:t>Minor criterion: a minor criterion can be understood as recommendations for product and process</w:t>
            </w:r>
            <w:r w:rsidR="00BF7801">
              <w:rPr>
                <w:rFonts w:cs="Arial"/>
                <w:sz w:val="20"/>
                <w:szCs w:val="20"/>
              </w:rPr>
              <w:t xml:space="preserve"> </w:t>
            </w:r>
            <w:r w:rsidR="00BF7801" w:rsidRPr="00BF7801">
              <w:rPr>
                <w:rFonts w:cs="Arial"/>
                <w:sz w:val="20"/>
                <w:szCs w:val="20"/>
              </w:rPr>
              <w:t>improvement</w:t>
            </w:r>
          </w:p>
        </w:tc>
        <w:tc>
          <w:tcPr>
            <w:tcW w:w="2607" w:type="dxa"/>
            <w:gridSpan w:val="2"/>
            <w:shd w:val="clear" w:color="auto" w:fill="auto"/>
          </w:tcPr>
          <w:p w14:paraId="4B9C25AF" w14:textId="31BD5436" w:rsidR="007742BC" w:rsidRPr="00A960B6" w:rsidRDefault="007742BC" w:rsidP="00BD2CAD">
            <w:pPr>
              <w:pStyle w:val="BodyTextIndent3"/>
              <w:spacing w:after="0"/>
              <w:ind w:left="0"/>
              <w:rPr>
                <w:rFonts w:cs="Arial"/>
                <w:sz w:val="20"/>
                <w:szCs w:val="20"/>
                <w:lang w:val="en-US"/>
              </w:rPr>
            </w:pPr>
            <w:r w:rsidRPr="00506105">
              <w:rPr>
                <w:rFonts w:cs="Arial"/>
                <w:b/>
                <w:sz w:val="20"/>
                <w:szCs w:val="20"/>
              </w:rPr>
              <w:t xml:space="preserve">3: </w:t>
            </w:r>
            <w:r w:rsidR="00BF7801" w:rsidRPr="00BF7801">
              <w:rPr>
                <w:rFonts w:cs="Arial"/>
                <w:bCs/>
                <w:sz w:val="20"/>
                <w:szCs w:val="20"/>
              </w:rPr>
              <w:t>Critical criterion: a critical criterion is a criterion that is significant within the ESTA scheme. A nonconformity for this criterion would be critical for scheme compliance</w:t>
            </w:r>
          </w:p>
        </w:tc>
      </w:tr>
      <w:tr w:rsidR="007742BC" w:rsidRPr="00A960B6" w14:paraId="5FCCD422" w14:textId="77777777" w:rsidTr="00A00A19">
        <w:trPr>
          <w:tblCellSpacing w:w="20" w:type="dxa"/>
          <w:jc w:val="center"/>
        </w:trPr>
        <w:tc>
          <w:tcPr>
            <w:tcW w:w="2308" w:type="dxa"/>
            <w:vMerge/>
            <w:shd w:val="clear" w:color="auto" w:fill="D9D9D9" w:themeFill="background1" w:themeFillShade="D9"/>
          </w:tcPr>
          <w:p w14:paraId="55BBBB16" w14:textId="77777777" w:rsidR="007742BC" w:rsidRPr="00A960B6" w:rsidRDefault="007742BC" w:rsidP="006C04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70" w:type="dxa"/>
            <w:gridSpan w:val="2"/>
            <w:shd w:val="clear" w:color="auto" w:fill="auto"/>
          </w:tcPr>
          <w:p w14:paraId="611116BE" w14:textId="12B1C8A8" w:rsidR="00BF7801" w:rsidRPr="00A960B6" w:rsidRDefault="007742BC" w:rsidP="00BF7801">
            <w:pPr>
              <w:pStyle w:val="BodyTextIndent3"/>
              <w:spacing w:after="0"/>
              <w:ind w:left="0"/>
              <w:rPr>
                <w:rFonts w:cs="Arial"/>
                <w:sz w:val="20"/>
                <w:szCs w:val="20"/>
                <w:lang w:val="en-US"/>
              </w:rPr>
            </w:pPr>
            <w:r w:rsidRPr="009C014C">
              <w:rPr>
                <w:rFonts w:cs="Arial"/>
                <w:b/>
                <w:bCs/>
                <w:sz w:val="20"/>
                <w:szCs w:val="20"/>
                <w:lang w:val="en-US"/>
              </w:rPr>
              <w:t>2: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="00BF7801" w:rsidRPr="00BF7801">
              <w:rPr>
                <w:rFonts w:cs="Arial"/>
                <w:sz w:val="20"/>
                <w:szCs w:val="20"/>
                <w:lang w:val="en-US"/>
              </w:rPr>
              <w:t>Major criterion: a major criterion is a criterion that, in case not fulfilled, it will not jeopardize the system and the compliance against the ESTA Standard</w:t>
            </w:r>
          </w:p>
          <w:p w14:paraId="1E051F19" w14:textId="7E4AA54A" w:rsidR="007742BC" w:rsidRPr="00A960B6" w:rsidRDefault="007742BC" w:rsidP="00BD2CAD">
            <w:pPr>
              <w:pStyle w:val="BodyTextIndent3"/>
              <w:spacing w:after="0" w:line="276" w:lineRule="auto"/>
              <w:ind w:left="0"/>
              <w:rPr>
                <w:rFonts w:cs="Arial"/>
                <w:sz w:val="20"/>
                <w:szCs w:val="20"/>
                <w:lang w:val="en-US"/>
              </w:rPr>
            </w:pPr>
          </w:p>
        </w:tc>
        <w:tc>
          <w:tcPr>
            <w:tcW w:w="2607" w:type="dxa"/>
            <w:gridSpan w:val="2"/>
            <w:shd w:val="clear" w:color="auto" w:fill="auto"/>
          </w:tcPr>
          <w:p w14:paraId="4586CF55" w14:textId="5B616293" w:rsidR="007742BC" w:rsidRPr="00A960B6" w:rsidRDefault="007742BC" w:rsidP="006C0455">
            <w:pPr>
              <w:pStyle w:val="BodyTextIndent3"/>
              <w:spacing w:after="0" w:line="276" w:lineRule="auto"/>
              <w:ind w:left="0"/>
              <w:rPr>
                <w:rFonts w:cs="Arial"/>
                <w:sz w:val="20"/>
                <w:szCs w:val="20"/>
                <w:lang w:val="en-US"/>
              </w:rPr>
            </w:pPr>
            <w:r w:rsidRPr="00506105">
              <w:rPr>
                <w:rFonts w:cs="Arial"/>
                <w:b/>
                <w:sz w:val="20"/>
                <w:szCs w:val="20"/>
              </w:rPr>
              <w:t>4:</w:t>
            </w:r>
            <w:r w:rsidRPr="00506105">
              <w:rPr>
                <w:rFonts w:cs="Arial"/>
                <w:sz w:val="20"/>
                <w:szCs w:val="20"/>
              </w:rPr>
              <w:t xml:space="preserve"> </w:t>
            </w:r>
            <w:r w:rsidR="00BF7801" w:rsidRPr="00BF7801">
              <w:rPr>
                <w:rFonts w:cs="Arial"/>
                <w:sz w:val="20"/>
                <w:szCs w:val="20"/>
              </w:rPr>
              <w:t>Not Checked, or/and Excluded</w:t>
            </w:r>
          </w:p>
        </w:tc>
      </w:tr>
      <w:tr w:rsidR="007742BC" w:rsidRPr="00A960B6" w14:paraId="642A0C92" w14:textId="77777777" w:rsidTr="00BF7801">
        <w:trPr>
          <w:tblCellSpacing w:w="20" w:type="dxa"/>
          <w:jc w:val="center"/>
        </w:trPr>
        <w:tc>
          <w:tcPr>
            <w:tcW w:w="2308" w:type="dxa"/>
            <w:vMerge/>
            <w:shd w:val="clear" w:color="auto" w:fill="D9D9D9" w:themeFill="background1" w:themeFillShade="D9"/>
          </w:tcPr>
          <w:p w14:paraId="315CBE9C" w14:textId="77777777" w:rsidR="007742BC" w:rsidRPr="00A960B6" w:rsidRDefault="007742BC" w:rsidP="006C04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17" w:type="dxa"/>
            <w:gridSpan w:val="4"/>
            <w:shd w:val="clear" w:color="auto" w:fill="auto"/>
          </w:tcPr>
          <w:p w14:paraId="25133E30" w14:textId="77777777" w:rsidR="007742BC" w:rsidRPr="007742BC" w:rsidRDefault="007742BC" w:rsidP="007742BC">
            <w:pPr>
              <w:pStyle w:val="BodyTextIndent3"/>
              <w:numPr>
                <w:ilvl w:val="0"/>
                <w:numId w:val="12"/>
              </w:numPr>
              <w:spacing w:after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7742BC">
              <w:rPr>
                <w:rFonts w:cs="Arial"/>
                <w:bCs/>
                <w:sz w:val="20"/>
                <w:szCs w:val="20"/>
                <w:lang w:val="en-US"/>
              </w:rPr>
              <w:t>The non-fulfillment of a critical/ major/ minor criterion leads to a critical/ major/ minor nonfulfillment.</w:t>
            </w:r>
          </w:p>
          <w:p w14:paraId="7D92A615" w14:textId="09535600" w:rsidR="007742BC" w:rsidRPr="007742BC" w:rsidRDefault="007742BC" w:rsidP="007742BC">
            <w:pPr>
              <w:pStyle w:val="BodyTextIndent3"/>
              <w:numPr>
                <w:ilvl w:val="0"/>
                <w:numId w:val="12"/>
              </w:numPr>
              <w:spacing w:after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7742BC">
              <w:rPr>
                <w:rFonts w:cs="Arial"/>
                <w:bCs/>
                <w:sz w:val="20"/>
                <w:szCs w:val="20"/>
                <w:lang w:val="en-US"/>
              </w:rPr>
              <w:t>It is up to TÜV AUSTRIA’s discretion to comment which elements of the criterion need continuous improvement and they will be checked at the next audit.</w:t>
            </w:r>
          </w:p>
          <w:p w14:paraId="4F7C071F" w14:textId="5E2577AC" w:rsidR="007742BC" w:rsidRPr="00A960B6" w:rsidRDefault="007742BC" w:rsidP="007742BC">
            <w:pPr>
              <w:pStyle w:val="BodyTextIndent3"/>
              <w:numPr>
                <w:ilvl w:val="0"/>
                <w:numId w:val="12"/>
              </w:numPr>
              <w:spacing w:after="0"/>
              <w:rPr>
                <w:rFonts w:cs="Arial"/>
                <w:b/>
                <w:sz w:val="20"/>
                <w:szCs w:val="20"/>
                <w:lang w:val="en-US"/>
              </w:rPr>
            </w:pPr>
            <w:r w:rsidRPr="007742BC">
              <w:rPr>
                <w:rFonts w:cs="Arial"/>
                <w:bCs/>
                <w:sz w:val="20"/>
                <w:szCs w:val="20"/>
                <w:lang w:val="en-US"/>
              </w:rPr>
              <w:t>TÜV AUSTRIA has the right to stop the certification if it is considered that the treatment site abuses the principles of the scheme.</w:t>
            </w:r>
          </w:p>
        </w:tc>
      </w:tr>
      <w:tr w:rsidR="00D30F07" w:rsidRPr="00A960B6" w14:paraId="4A49449F" w14:textId="77777777" w:rsidTr="00BF7801">
        <w:trPr>
          <w:tblCellSpacing w:w="20" w:type="dxa"/>
          <w:jc w:val="center"/>
        </w:trPr>
        <w:tc>
          <w:tcPr>
            <w:tcW w:w="2308" w:type="dxa"/>
            <w:shd w:val="clear" w:color="auto" w:fill="D9D9D9" w:themeFill="background1" w:themeFillShade="D9"/>
          </w:tcPr>
          <w:p w14:paraId="2AD798EA" w14:textId="4EB0420A" w:rsidR="00D30F07" w:rsidRPr="00A960B6" w:rsidRDefault="00482127" w:rsidP="006C04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Responsible Agent – </w:t>
            </w:r>
            <w:r w:rsidR="008D3107">
              <w:rPr>
                <w:rFonts w:ascii="Arial" w:hAnsi="Arial" w:cs="Arial"/>
                <w:b/>
                <w:bCs/>
                <w:sz w:val="20"/>
                <w:szCs w:val="20"/>
              </w:rPr>
              <w:t>Prerequisite steps prior to the Certification</w:t>
            </w:r>
          </w:p>
        </w:tc>
        <w:tc>
          <w:tcPr>
            <w:tcW w:w="7817" w:type="dxa"/>
            <w:gridSpan w:val="4"/>
            <w:shd w:val="clear" w:color="auto" w:fill="auto"/>
          </w:tcPr>
          <w:p w14:paraId="3E38F4CB" w14:textId="0A6EDFA5" w:rsidR="00482127" w:rsidRPr="00482127" w:rsidRDefault="00482127" w:rsidP="00482127">
            <w:pPr>
              <w:pStyle w:val="BodyTextIndent3"/>
              <w:spacing w:after="0"/>
              <w:ind w:left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 xml:space="preserve">ESTA is only operated by Agents. The seed treatment sites that wish to get ESTA certified sites shall contact the Agent and arrange all the administrative details of the 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S</w:t>
            </w: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>cheme with them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:</w:t>
            </w:r>
          </w:p>
          <w:p w14:paraId="08FF8626" w14:textId="1922773F" w:rsidR="00482127" w:rsidRPr="00482127" w:rsidRDefault="00482127" w:rsidP="00482127">
            <w:pPr>
              <w:pStyle w:val="BodyTextIndent3"/>
              <w:spacing w:after="0"/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482127"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  <w:t>Asociación</w:t>
            </w:r>
            <w:proofErr w:type="spellEnd"/>
            <w:r w:rsidRPr="00482127"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  <w:t xml:space="preserve"> Nacional de </w:t>
            </w:r>
            <w:proofErr w:type="spellStart"/>
            <w:r w:rsidRPr="00482127"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  <w:t>Obtentores</w:t>
            </w:r>
            <w:proofErr w:type="spellEnd"/>
            <w:r w:rsidRPr="00482127"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82127"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  <w:t>Vegetales</w:t>
            </w:r>
            <w:proofErr w:type="spellEnd"/>
            <w:r w:rsidRPr="00482127"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  <w:t xml:space="preserve"> (ANOVE) – Spain, contact details: </w:t>
            </w:r>
            <w:hyperlink r:id="rId12" w:history="1">
              <w:r w:rsidRPr="00482127">
                <w:rPr>
                  <w:rStyle w:val="Hyperlink"/>
                  <w:rFonts w:cs="Arial"/>
                  <w:bCs/>
                  <w:i/>
                  <w:iCs/>
                  <w:sz w:val="20"/>
                  <w:szCs w:val="20"/>
                  <w:lang w:val="en-US"/>
                </w:rPr>
                <w:t>esta@anove.es</w:t>
              </w:r>
            </w:hyperlink>
            <w:r w:rsidRPr="00482127">
              <w:rPr>
                <w:rFonts w:cs="Arial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</w:p>
          <w:p w14:paraId="441968AC" w14:textId="77777777" w:rsidR="00482127" w:rsidRPr="00482127" w:rsidRDefault="00482127" w:rsidP="00482127">
            <w:pPr>
              <w:pStyle w:val="BodyTextIndent3"/>
              <w:spacing w:after="0"/>
              <w:rPr>
                <w:rFonts w:cs="Arial"/>
                <w:bCs/>
                <w:sz w:val="20"/>
                <w:szCs w:val="20"/>
                <w:lang w:val="en-US"/>
              </w:rPr>
            </w:pPr>
          </w:p>
          <w:p w14:paraId="1DD1742A" w14:textId="77777777" w:rsidR="00482127" w:rsidRPr="00482127" w:rsidRDefault="00482127" w:rsidP="00482127">
            <w:pPr>
              <w:pStyle w:val="BodyTextIndent3"/>
              <w:spacing w:after="0"/>
              <w:ind w:left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 xml:space="preserve">The Standard </w:t>
            </w:r>
            <w:proofErr w:type="spellStart"/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>Licence</w:t>
            </w:r>
            <w:proofErr w:type="spellEnd"/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 xml:space="preserve"> Agreement needs to be signed between the certified treatment site and the Agent. The signed Standard License Agreement is a prerequisite for the issue of the ESTA certificate. </w:t>
            </w:r>
          </w:p>
          <w:p w14:paraId="07623565" w14:textId="77777777" w:rsidR="00482127" w:rsidRPr="00482127" w:rsidRDefault="00482127" w:rsidP="00482127">
            <w:pPr>
              <w:pStyle w:val="BodyTextIndent3"/>
              <w:spacing w:after="0"/>
              <w:rPr>
                <w:rFonts w:cs="Arial"/>
                <w:bCs/>
                <w:sz w:val="20"/>
                <w:szCs w:val="20"/>
                <w:lang w:val="en-US"/>
              </w:rPr>
            </w:pPr>
          </w:p>
          <w:p w14:paraId="00804985" w14:textId="794ECBDB" w:rsidR="00482127" w:rsidRDefault="00482127" w:rsidP="00482127">
            <w:pPr>
              <w:pStyle w:val="BodyTextIndent3"/>
              <w:spacing w:after="0"/>
              <w:ind w:left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>Once the Agreement is signed the treatment site is authorized to use the ESTA logo. For the right to use the ESTA Trademarks, the treatment site undertakes to pay annually a fixed fee per unit or a lump sum fee</w:t>
            </w:r>
            <w:r>
              <w:rPr>
                <w:rFonts w:cs="Arial"/>
                <w:bCs/>
                <w:sz w:val="20"/>
                <w:szCs w:val="20"/>
                <w:lang w:val="en-US"/>
              </w:rPr>
              <w:t>, based on their annual turnover.</w:t>
            </w:r>
            <w:r>
              <w:t xml:space="preserve"> </w:t>
            </w: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>The annual turnover is estimated by activities related to seeds.</w:t>
            </w:r>
          </w:p>
          <w:p w14:paraId="5DA717C4" w14:textId="7C6D3C0A" w:rsidR="00482127" w:rsidRPr="00482127" w:rsidRDefault="00482127" w:rsidP="00482127">
            <w:pPr>
              <w:pStyle w:val="BodyTextIndent3"/>
              <w:numPr>
                <w:ilvl w:val="0"/>
                <w:numId w:val="16"/>
              </w:numPr>
              <w:spacing w:after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lastRenderedPageBreak/>
              <w:t xml:space="preserve">The fee per unit and/or lump sum fee is paid to </w:t>
            </w:r>
            <w:proofErr w:type="spellStart"/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>Euroseeds</w:t>
            </w:r>
            <w:proofErr w:type="spellEnd"/>
            <w:r w:rsidR="00C613B4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>while the Agents may charge a handling fee.</w:t>
            </w:r>
          </w:p>
          <w:p w14:paraId="215040DC" w14:textId="77777777" w:rsidR="00482127" w:rsidRDefault="00482127" w:rsidP="00482127">
            <w:pPr>
              <w:pStyle w:val="BodyTextIndent3"/>
              <w:numPr>
                <w:ilvl w:val="0"/>
                <w:numId w:val="16"/>
              </w:numPr>
              <w:spacing w:after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 xml:space="preserve">The fee per unit and the lump sum fee are the same for all crops and all countries. </w:t>
            </w:r>
          </w:p>
          <w:p w14:paraId="0B123B7D" w14:textId="77777777" w:rsidR="00482127" w:rsidRDefault="00482127" w:rsidP="00482127">
            <w:pPr>
              <w:pStyle w:val="BodyTextIndent3"/>
              <w:numPr>
                <w:ilvl w:val="0"/>
                <w:numId w:val="16"/>
              </w:numPr>
              <w:spacing w:after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 xml:space="preserve">The ESTA Agents may charge handling fee. </w:t>
            </w:r>
          </w:p>
          <w:p w14:paraId="26C96421" w14:textId="77777777" w:rsidR="00482127" w:rsidRDefault="00482127" w:rsidP="00482127">
            <w:pPr>
              <w:pStyle w:val="BodyTextIndent3"/>
              <w:numPr>
                <w:ilvl w:val="0"/>
                <w:numId w:val="16"/>
              </w:numPr>
              <w:spacing w:after="0"/>
              <w:rPr>
                <w:rFonts w:cs="Arial"/>
                <w:bCs/>
                <w:sz w:val="20"/>
                <w:szCs w:val="20"/>
                <w:lang w:val="en-US"/>
              </w:rPr>
            </w:pPr>
            <w:r w:rsidRPr="00482127">
              <w:rPr>
                <w:rFonts w:cs="Arial"/>
                <w:bCs/>
                <w:sz w:val="20"/>
                <w:szCs w:val="20"/>
                <w:lang w:val="en-US"/>
              </w:rPr>
              <w:t>The lump sum fee is paid once by each company, independent of the number of ESTA certified sites.</w:t>
            </w:r>
          </w:p>
          <w:p w14:paraId="538B435E" w14:textId="77777777" w:rsidR="00482127" w:rsidRDefault="00482127" w:rsidP="00482127">
            <w:pPr>
              <w:pStyle w:val="BodyTextIndent3"/>
              <w:spacing w:after="0"/>
              <w:ind w:left="1003"/>
              <w:rPr>
                <w:rFonts w:cs="Arial"/>
                <w:bCs/>
                <w:sz w:val="20"/>
                <w:szCs w:val="20"/>
                <w:lang w:val="en-US"/>
              </w:rPr>
            </w:pPr>
          </w:p>
          <w:p w14:paraId="2C1204A7" w14:textId="765DBD41" w:rsidR="00A5006F" w:rsidRPr="00482127" w:rsidRDefault="00482127" w:rsidP="00BD1129">
            <w:pPr>
              <w:pStyle w:val="BodyTextIndent3"/>
              <w:spacing w:after="0"/>
              <w:ind w:left="0"/>
              <w:rPr>
                <w:rFonts w:cs="Arial"/>
                <w:bCs/>
                <w:sz w:val="20"/>
                <w:szCs w:val="20"/>
                <w:lang w:val="en-US"/>
              </w:rPr>
            </w:pPr>
            <w:r>
              <w:rPr>
                <w:rFonts w:cs="Arial"/>
                <w:bCs/>
                <w:sz w:val="20"/>
                <w:szCs w:val="20"/>
                <w:lang w:val="en-US"/>
              </w:rPr>
              <w:t xml:space="preserve">The treatment site shall then submit a certification application to </w:t>
            </w:r>
            <w:r w:rsidR="00A5006F" w:rsidRPr="00A5006F">
              <w:rPr>
                <w:rFonts w:cs="Arial"/>
                <w:bCs/>
                <w:sz w:val="20"/>
                <w:szCs w:val="20"/>
                <w:lang w:val="en-US"/>
              </w:rPr>
              <w:t>TÜV AUSTRIA</w:t>
            </w:r>
            <w:r w:rsidR="003E7B3E" w:rsidRPr="003E7B3E">
              <w:rPr>
                <w:rFonts w:cs="Arial"/>
                <w:bCs/>
                <w:sz w:val="20"/>
                <w:szCs w:val="20"/>
                <w:lang w:val="en-US"/>
              </w:rPr>
              <w:t xml:space="preserve"> </w:t>
            </w:r>
            <w:r w:rsidR="003E7B3E">
              <w:rPr>
                <w:rFonts w:cs="Arial"/>
                <w:bCs/>
                <w:sz w:val="20"/>
                <w:szCs w:val="20"/>
                <w:lang w:val="en-US"/>
              </w:rPr>
              <w:t>and proceed with the certification procedure</w:t>
            </w:r>
            <w:r w:rsidR="00A5006F">
              <w:rPr>
                <w:rFonts w:cs="Arial"/>
                <w:bCs/>
                <w:sz w:val="20"/>
                <w:szCs w:val="20"/>
                <w:lang w:val="en-US"/>
              </w:rPr>
              <w:t xml:space="preserve">. </w:t>
            </w:r>
          </w:p>
        </w:tc>
      </w:tr>
      <w:tr w:rsidR="006C0455" w:rsidRPr="00A960B6" w14:paraId="78EEB46C" w14:textId="77777777" w:rsidTr="00BF7801">
        <w:trPr>
          <w:tblCellSpacing w:w="20" w:type="dxa"/>
          <w:jc w:val="center"/>
        </w:trPr>
        <w:tc>
          <w:tcPr>
            <w:tcW w:w="2308" w:type="dxa"/>
            <w:shd w:val="clear" w:color="auto" w:fill="D9D9D9" w:themeFill="background1" w:themeFillShade="D9"/>
          </w:tcPr>
          <w:p w14:paraId="58DDB4EF" w14:textId="3E55F20C" w:rsidR="006C0455" w:rsidRPr="00A960B6" w:rsidRDefault="00281287" w:rsidP="006C045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128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Time slots for the closure of the corrective action requests (CARs)</w:t>
            </w:r>
            <w:r w:rsidR="00BB1120" w:rsidRPr="00BB112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="00BB1120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BB1120" w:rsidRPr="008C2DFC">
              <w:rPr>
                <w:rFonts w:ascii="Arial" w:hAnsi="Arial" w:cs="Arial"/>
                <w:b/>
                <w:bCs/>
                <w:sz w:val="20"/>
                <w:szCs w:val="20"/>
              </w:rPr>
              <w:t>ertificate suspension</w:t>
            </w:r>
            <w:r w:rsidR="00BB1120" w:rsidRPr="00BB112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BB1120" w:rsidRPr="008C2DFC">
              <w:rPr>
                <w:rFonts w:ascii="Arial" w:hAnsi="Arial" w:cs="Arial"/>
                <w:b/>
                <w:bCs/>
                <w:sz w:val="20"/>
                <w:szCs w:val="20"/>
              </w:rPr>
              <w:t>withdrawal conditions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817" w:type="dxa"/>
            <w:gridSpan w:val="4"/>
            <w:shd w:val="clear" w:color="auto" w:fill="auto"/>
          </w:tcPr>
          <w:p w14:paraId="7F8E6544" w14:textId="2EB46E7B" w:rsidR="008809C6" w:rsidRDefault="008809C6" w:rsidP="008809C6">
            <w:pPr>
              <w:pStyle w:val="BodyTextIndent3"/>
              <w:numPr>
                <w:ilvl w:val="0"/>
                <w:numId w:val="13"/>
              </w:numPr>
              <w:spacing w:after="0" w:line="276" w:lineRule="auto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u w:val="single"/>
                <w:lang w:val="en-US"/>
              </w:rPr>
              <w:t>C</w:t>
            </w:r>
            <w:r w:rsidRPr="008809C6">
              <w:rPr>
                <w:rFonts w:cs="Arial"/>
                <w:b/>
                <w:bCs/>
                <w:sz w:val="20"/>
                <w:szCs w:val="20"/>
                <w:u w:val="single"/>
                <w:lang w:val="en-US"/>
              </w:rPr>
              <w:t xml:space="preserve">ritical criterion: </w:t>
            </w:r>
            <w:bookmarkStart w:id="0" w:name="_Hlk170212877"/>
            <w:r w:rsidRPr="008809C6">
              <w:rPr>
                <w:rFonts w:cs="Arial"/>
                <w:sz w:val="20"/>
                <w:szCs w:val="20"/>
                <w:lang w:val="en-US"/>
              </w:rPr>
              <w:t>the certificate is suspended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after the finding until corrective actions </w:t>
            </w:r>
            <w:r>
              <w:rPr>
                <w:rFonts w:cs="Arial"/>
                <w:sz w:val="20"/>
                <w:szCs w:val="20"/>
                <w:lang w:val="en-US"/>
              </w:rPr>
              <w:t>are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 put in place. The treatment site has </w:t>
            </w:r>
            <w:r>
              <w:rPr>
                <w:rFonts w:cs="Arial"/>
                <w:sz w:val="20"/>
                <w:szCs w:val="20"/>
                <w:lang w:val="en-US"/>
              </w:rPr>
              <w:t>thirty (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30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 days at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maximum to put in place corrective actions. If no corrective actions have been put in place within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thirty (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30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)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days, the certificate is withdrawn or not delivered.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br/>
              <w:t>Special derogation for the non-conformity of critical criteria: additional time may be given to solve the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non-conformity of a critical criterion. The decision for the additional time to solve the non-conformity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will be given by TÜV AUSTRIA. In this case TÜV AUSTRIA inform the reasons to the Agent/</w:t>
            </w:r>
            <w:proofErr w:type="spellStart"/>
            <w:r w:rsidRPr="008809C6">
              <w:rPr>
                <w:rFonts w:cs="Arial"/>
                <w:sz w:val="20"/>
                <w:szCs w:val="20"/>
                <w:lang w:val="en-US"/>
              </w:rPr>
              <w:t>Euroseeds</w:t>
            </w:r>
            <w:proofErr w:type="spellEnd"/>
            <w:r w:rsidRPr="008809C6">
              <w:rPr>
                <w:rFonts w:cs="Arial"/>
                <w:sz w:val="20"/>
                <w:szCs w:val="20"/>
                <w:lang w:val="en-US"/>
              </w:rPr>
              <w:t xml:space="preserve"> about the reasons of the derogation.</w:t>
            </w:r>
            <w:bookmarkEnd w:id="0"/>
          </w:p>
          <w:p w14:paraId="59E31CA0" w14:textId="77777777" w:rsidR="008809C6" w:rsidRDefault="008809C6" w:rsidP="008809C6">
            <w:pPr>
              <w:pStyle w:val="BodyTextIndent3"/>
              <w:numPr>
                <w:ilvl w:val="0"/>
                <w:numId w:val="13"/>
              </w:numPr>
              <w:spacing w:after="0" w:line="276" w:lineRule="auto"/>
              <w:jc w:val="left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sz w:val="20"/>
                <w:szCs w:val="20"/>
                <w:u w:val="single"/>
                <w:lang w:val="en-US"/>
              </w:rPr>
              <w:t>M</w:t>
            </w:r>
            <w:r w:rsidRPr="008809C6">
              <w:rPr>
                <w:rFonts w:cs="Arial"/>
                <w:b/>
                <w:bCs/>
                <w:sz w:val="20"/>
                <w:szCs w:val="20"/>
                <w:u w:val="single"/>
                <w:lang w:val="en-US"/>
              </w:rPr>
              <w:t>ajor criterion</w:t>
            </w:r>
            <w:r>
              <w:rPr>
                <w:rFonts w:cs="Arial"/>
                <w:b/>
                <w:bCs/>
                <w:sz w:val="20"/>
                <w:szCs w:val="20"/>
                <w:u w:val="single"/>
                <w:lang w:val="en-US"/>
              </w:rPr>
              <w:t xml:space="preserve">: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bookmarkStart w:id="1" w:name="_Hlk170212850"/>
            <w:r w:rsidRPr="008809C6">
              <w:rPr>
                <w:rFonts w:cs="Arial"/>
                <w:sz w:val="20"/>
                <w:szCs w:val="20"/>
                <w:lang w:val="en-US"/>
              </w:rPr>
              <w:t xml:space="preserve">the site has </w:t>
            </w:r>
            <w:r>
              <w:rPr>
                <w:rFonts w:cs="Arial"/>
                <w:sz w:val="20"/>
                <w:szCs w:val="20"/>
                <w:lang w:val="en-US"/>
              </w:rPr>
              <w:t>thirty (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30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 days to inform TÜV AUSTRIA which measure it will put in place to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solve the non-conformity of a major criterion, otherwise the consequences are the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same as for the non-fulfillment of a critical criterion. In this case apply the conditions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described above.</w:t>
            </w:r>
          </w:p>
          <w:p w14:paraId="1D1CD16D" w14:textId="7FA096B3" w:rsidR="008809C6" w:rsidRDefault="008809C6" w:rsidP="008C2DFC">
            <w:pPr>
              <w:pStyle w:val="BodyTextIndent3"/>
              <w:numPr>
                <w:ilvl w:val="0"/>
                <w:numId w:val="14"/>
              </w:numPr>
              <w:spacing w:after="0" w:line="276" w:lineRule="auto"/>
              <w:ind w:hanging="354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the site needs to clarify when they will put in place corrective actions to solve the nonconformity. The time for the non-conformity to be solved cannot be longer than </w:t>
            </w:r>
            <w:r>
              <w:rPr>
                <w:rFonts w:cs="Arial"/>
                <w:sz w:val="20"/>
                <w:szCs w:val="20"/>
                <w:lang w:val="en-US"/>
              </w:rPr>
              <w:t>thirty (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30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)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days after the site </w:t>
            </w:r>
            <w:r w:rsidR="008C2DFC" w:rsidRPr="008C2DFC">
              <w:rPr>
                <w:rFonts w:cs="Arial"/>
                <w:sz w:val="20"/>
                <w:szCs w:val="20"/>
                <w:lang w:val="en-US"/>
              </w:rPr>
              <w:t>TÜV AUSTRIA</w:t>
            </w:r>
          </w:p>
          <w:p w14:paraId="6864D5CC" w14:textId="77777777" w:rsidR="008809C6" w:rsidRDefault="008809C6" w:rsidP="008C2DFC">
            <w:pPr>
              <w:pStyle w:val="BodyTextIndent3"/>
              <w:numPr>
                <w:ilvl w:val="0"/>
                <w:numId w:val="14"/>
              </w:numPr>
              <w:spacing w:after="0" w:line="276" w:lineRule="auto"/>
              <w:ind w:hanging="354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following the above mentioned the site has </w:t>
            </w:r>
            <w:r>
              <w:rPr>
                <w:rFonts w:cs="Arial"/>
                <w:sz w:val="20"/>
                <w:szCs w:val="20"/>
                <w:lang w:val="en-US"/>
              </w:rPr>
              <w:t>sixty (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60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 calendar days to inform and put in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place the measures to solve the non-conformity</w:t>
            </w:r>
          </w:p>
          <w:p w14:paraId="7BCAD43E" w14:textId="77777777" w:rsidR="008809C6" w:rsidRDefault="008809C6" w:rsidP="008C2DFC">
            <w:pPr>
              <w:pStyle w:val="BodyTextIndent3"/>
              <w:numPr>
                <w:ilvl w:val="0"/>
                <w:numId w:val="14"/>
              </w:numPr>
              <w:spacing w:after="0" w:line="276" w:lineRule="auto"/>
              <w:ind w:hanging="354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8809C6">
              <w:rPr>
                <w:rFonts w:cs="Arial"/>
                <w:sz w:val="20"/>
                <w:szCs w:val="20"/>
                <w:lang w:val="en-US"/>
              </w:rPr>
              <w:t>Even without a notification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by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TÜV AUSTRIA the major criterion becomes critical. This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means that the ESTA certified site has </w:t>
            </w:r>
            <w:r>
              <w:rPr>
                <w:rFonts w:cs="Arial"/>
                <w:sz w:val="20"/>
                <w:szCs w:val="20"/>
                <w:lang w:val="en-US"/>
              </w:rPr>
              <w:t>sixty (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60</w:t>
            </w:r>
            <w:r>
              <w:rPr>
                <w:rFonts w:cs="Arial"/>
                <w:sz w:val="20"/>
                <w:szCs w:val="20"/>
                <w:lang w:val="en-US"/>
              </w:rPr>
              <w:t>)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 days between the first notification and the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suspension of the certificate.</w:t>
            </w:r>
          </w:p>
          <w:bookmarkEnd w:id="1"/>
          <w:p w14:paraId="4C7328BD" w14:textId="1F19C321" w:rsidR="006C0455" w:rsidRPr="008809C6" w:rsidRDefault="008809C6" w:rsidP="008809C6">
            <w:pPr>
              <w:pStyle w:val="BodyTextIndent3"/>
              <w:numPr>
                <w:ilvl w:val="0"/>
                <w:numId w:val="15"/>
              </w:numPr>
              <w:spacing w:after="0" w:line="276" w:lineRule="auto"/>
              <w:ind w:left="774" w:hanging="249"/>
              <w:jc w:val="left"/>
              <w:rPr>
                <w:rFonts w:cs="Arial"/>
                <w:sz w:val="20"/>
                <w:szCs w:val="20"/>
                <w:lang w:val="en-US"/>
              </w:rPr>
            </w:pPr>
            <w:r w:rsidRPr="008809C6">
              <w:rPr>
                <w:rFonts w:cs="Arial"/>
                <w:b/>
                <w:bCs/>
                <w:sz w:val="20"/>
                <w:szCs w:val="20"/>
                <w:u w:val="single"/>
                <w:lang w:val="en-US"/>
              </w:rPr>
              <w:t>Minor criterion: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bookmarkStart w:id="2" w:name="_Hlk170212794"/>
            <w:r w:rsidRPr="008809C6">
              <w:rPr>
                <w:rFonts w:cs="Arial"/>
                <w:sz w:val="20"/>
                <w:szCs w:val="20"/>
                <w:lang w:val="en-US"/>
              </w:rPr>
              <w:t xml:space="preserve">A minor non-conformity has to be solved by documents or at least </w:t>
            </w:r>
            <w:r w:rsidR="00667E72">
              <w:rPr>
                <w:rFonts w:cs="Arial"/>
                <w:sz w:val="20"/>
                <w:szCs w:val="20"/>
                <w:lang w:val="en-US"/>
              </w:rPr>
              <w:t xml:space="preserve">during the next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on</w:t>
            </w:r>
            <w:r w:rsidR="00667E72">
              <w:rPr>
                <w:rFonts w:cs="Arial"/>
                <w:sz w:val="20"/>
                <w:szCs w:val="20"/>
                <w:lang w:val="en-US"/>
              </w:rPr>
              <w:t>-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site </w:t>
            </w:r>
            <w:r w:rsidR="00667E72">
              <w:rPr>
                <w:rFonts w:cs="Arial"/>
                <w:sz w:val="20"/>
                <w:szCs w:val="20"/>
                <w:lang w:val="en-US"/>
              </w:rPr>
              <w:t xml:space="preserve">visit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by</w:t>
            </w:r>
            <w:r>
              <w:rPr>
                <w:rFonts w:cs="Arial"/>
                <w:sz w:val="20"/>
                <w:szCs w:val="20"/>
                <w:lang w:val="en-US"/>
              </w:rPr>
              <w:t xml:space="preserve">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 xml:space="preserve">the issuance of the initial certificate. If the non-conformity of a minor criterion </w:t>
            </w:r>
            <w:r w:rsidR="00667E72">
              <w:rPr>
                <w:rFonts w:cs="Arial"/>
                <w:sz w:val="20"/>
                <w:szCs w:val="20"/>
                <w:lang w:val="en-US"/>
              </w:rPr>
              <w:t xml:space="preserve">is not </w:t>
            </w:r>
            <w:r w:rsidRPr="008809C6">
              <w:rPr>
                <w:rFonts w:cs="Arial"/>
                <w:sz w:val="20"/>
                <w:szCs w:val="20"/>
                <w:lang w:val="en-US"/>
              </w:rPr>
              <w:t>solved by the next audit then the criterion will become major.</w:t>
            </w:r>
            <w:bookmarkEnd w:id="2"/>
          </w:p>
        </w:tc>
      </w:tr>
    </w:tbl>
    <w:p w14:paraId="13707551" w14:textId="1623A2B2" w:rsidR="00BD0176" w:rsidRPr="00BD0176" w:rsidRDefault="00BD0176" w:rsidP="002E653B">
      <w:pPr>
        <w:tabs>
          <w:tab w:val="left" w:pos="2656"/>
          <w:tab w:val="left" w:pos="3735"/>
        </w:tabs>
      </w:pPr>
      <w:r>
        <w:tab/>
      </w:r>
      <w:r w:rsidR="002E653B">
        <w:tab/>
      </w:r>
    </w:p>
    <w:sectPr w:rsidR="00BD0176" w:rsidRPr="00BD0176">
      <w:headerReference w:type="default" r:id="rId13"/>
      <w:footerReference w:type="default" r:id="rId14"/>
      <w:pgSz w:w="11900" w:h="16820"/>
      <w:pgMar w:top="1740" w:right="701" w:bottom="284" w:left="1280" w:header="67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F35560" w14:textId="77777777" w:rsidR="00FA4186" w:rsidRDefault="00FA4186">
      <w:pPr>
        <w:spacing w:after="0" w:line="240" w:lineRule="auto"/>
      </w:pPr>
      <w:r>
        <w:separator/>
      </w:r>
    </w:p>
  </w:endnote>
  <w:endnote w:type="continuationSeparator" w:id="0">
    <w:p w14:paraId="35B05619" w14:textId="77777777" w:rsidR="00FA4186" w:rsidRDefault="00FA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Web2"/>
      <w:tblW w:w="10093" w:type="dxa"/>
      <w:jc w:val="center"/>
      <w:tblLayout w:type="fixed"/>
      <w:tblLook w:val="01E0" w:firstRow="1" w:lastRow="1" w:firstColumn="1" w:lastColumn="1" w:noHBand="0" w:noVBand="0"/>
    </w:tblPr>
    <w:tblGrid>
      <w:gridCol w:w="4056"/>
      <w:gridCol w:w="2268"/>
      <w:gridCol w:w="2552"/>
      <w:gridCol w:w="1217"/>
    </w:tblGrid>
    <w:tr w:rsidR="00391431" w:rsidRPr="00007EB2" w14:paraId="6C015DEF" w14:textId="77777777" w:rsidTr="0039143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jc w:val="center"/>
      </w:trPr>
      <w:tc>
        <w:tcPr>
          <w:tcW w:w="3996" w:type="dxa"/>
          <w:vAlign w:val="center"/>
        </w:tcPr>
        <w:p w14:paraId="1EC266FC" w14:textId="5E28667C" w:rsidR="00BB1120" w:rsidRPr="002E653B" w:rsidRDefault="0068312F">
          <w:pPr>
            <w:pStyle w:val="Footer"/>
            <w:tabs>
              <w:tab w:val="left" w:pos="5201"/>
            </w:tabs>
            <w:spacing w:before="0"/>
            <w:ind w:left="-108"/>
            <w:jc w:val="center"/>
            <w:rPr>
              <w:rFonts w:ascii="Arial" w:hAnsi="Arial" w:cs="Arial"/>
              <w:sz w:val="16"/>
              <w:lang w:val="de-AT"/>
            </w:rPr>
          </w:pPr>
          <w:r w:rsidRPr="002E653B">
            <w:rPr>
              <w:rFonts w:ascii="Arial" w:hAnsi="Arial" w:cs="Arial"/>
              <w:sz w:val="16"/>
            </w:rPr>
            <w:fldChar w:fldCharType="begin"/>
          </w:r>
          <w:r w:rsidRPr="002E653B">
            <w:rPr>
              <w:rFonts w:ascii="Arial" w:hAnsi="Arial" w:cs="Arial"/>
              <w:sz w:val="16"/>
              <w:lang w:val="de-AT"/>
            </w:rPr>
            <w:instrText xml:space="preserve"> FILENAME   \* MERGEFORMAT </w:instrText>
          </w:r>
          <w:r w:rsidRPr="002E653B">
            <w:rPr>
              <w:rFonts w:ascii="Arial" w:hAnsi="Arial" w:cs="Arial"/>
              <w:sz w:val="16"/>
            </w:rPr>
            <w:fldChar w:fldCharType="separate"/>
          </w:r>
          <w:r w:rsidR="009F11CC">
            <w:rPr>
              <w:rFonts w:ascii="Arial" w:hAnsi="Arial" w:cs="Arial"/>
              <w:noProof/>
              <w:sz w:val="16"/>
              <w:lang w:val="de-AT"/>
            </w:rPr>
            <w:t>VB-BA-ZET-PR-All-004-Ann-CR-ESTA</w:t>
          </w:r>
          <w:r w:rsidRPr="002E653B">
            <w:rPr>
              <w:rFonts w:ascii="Arial" w:hAnsi="Arial" w:cs="Arial"/>
              <w:sz w:val="16"/>
            </w:rPr>
            <w:fldChar w:fldCharType="end"/>
          </w:r>
          <w:r w:rsidRPr="002E653B">
            <w:rPr>
              <w:rFonts w:ascii="Arial" w:hAnsi="Arial" w:cs="Arial"/>
              <w:sz w:val="16"/>
              <w:lang w:val="de-AT"/>
            </w:rPr>
            <w:t xml:space="preserve"> </w:t>
          </w:r>
        </w:p>
      </w:tc>
      <w:tc>
        <w:tcPr>
          <w:tcW w:w="2228" w:type="dxa"/>
          <w:vAlign w:val="center"/>
        </w:tcPr>
        <w:p w14:paraId="22F5A5FE" w14:textId="30F247B3" w:rsidR="00BB1120" w:rsidRPr="002E653B" w:rsidRDefault="00AC2F0A">
          <w:pPr>
            <w:pStyle w:val="Footer"/>
            <w:tabs>
              <w:tab w:val="left" w:pos="5201"/>
            </w:tabs>
            <w:spacing w:before="0"/>
            <w:ind w:left="-108"/>
            <w:jc w:val="center"/>
            <w:rPr>
              <w:rFonts w:ascii="Arial" w:hAnsi="Arial" w:cs="Arial"/>
              <w:sz w:val="16"/>
              <w:lang w:val="el-GR"/>
            </w:rPr>
          </w:pPr>
          <w:r w:rsidRPr="002E653B">
            <w:rPr>
              <w:rFonts w:ascii="Arial" w:hAnsi="Arial" w:cs="Arial"/>
              <w:sz w:val="16"/>
            </w:rPr>
            <w:t xml:space="preserve">Revision: </w:t>
          </w:r>
          <w:r w:rsidR="00D6214F" w:rsidRPr="002E653B">
            <w:rPr>
              <w:rFonts w:ascii="Arial" w:hAnsi="Arial" w:cs="Arial"/>
              <w:sz w:val="16"/>
            </w:rPr>
            <w:t>00</w:t>
          </w:r>
          <w:r w:rsidR="002E653B" w:rsidRPr="002E653B">
            <w:rPr>
              <w:rFonts w:ascii="Arial" w:hAnsi="Arial" w:cs="Arial"/>
              <w:sz w:val="16"/>
              <w:lang w:val="el-GR"/>
            </w:rPr>
            <w:t>_16.05.2023</w:t>
          </w:r>
        </w:p>
      </w:tc>
      <w:tc>
        <w:tcPr>
          <w:tcW w:w="2512" w:type="dxa"/>
          <w:vAlign w:val="center"/>
        </w:tcPr>
        <w:p w14:paraId="44EDCFF3" w14:textId="66A4A295" w:rsidR="00BB1120" w:rsidRPr="002E653B" w:rsidRDefault="00AC2F0A">
          <w:pPr>
            <w:pStyle w:val="Footer"/>
            <w:tabs>
              <w:tab w:val="left" w:pos="5201"/>
            </w:tabs>
            <w:spacing w:before="0"/>
            <w:ind w:left="-108"/>
            <w:jc w:val="center"/>
            <w:rPr>
              <w:rFonts w:ascii="Arial" w:hAnsi="Arial" w:cs="Arial"/>
              <w:sz w:val="16"/>
            </w:rPr>
          </w:pPr>
          <w:r w:rsidRPr="002E653B">
            <w:rPr>
              <w:rFonts w:ascii="Arial" w:hAnsi="Arial" w:cs="Arial"/>
              <w:sz w:val="16"/>
            </w:rPr>
            <w:t xml:space="preserve">VKL: </w:t>
          </w:r>
          <w:r w:rsidR="00CE7492" w:rsidRPr="002E653B">
            <w:rPr>
              <w:rFonts w:ascii="Arial" w:hAnsi="Arial" w:cs="Arial"/>
              <w:sz w:val="16"/>
            </w:rPr>
            <w:t>Public</w:t>
          </w:r>
        </w:p>
      </w:tc>
      <w:tc>
        <w:tcPr>
          <w:tcW w:w="1157" w:type="dxa"/>
          <w:vAlign w:val="center"/>
        </w:tcPr>
        <w:p w14:paraId="724F6C79" w14:textId="77777777" w:rsidR="00BB1120" w:rsidRPr="00DF2E04" w:rsidRDefault="00AC2F0A">
          <w:pPr>
            <w:pStyle w:val="Footer"/>
            <w:tabs>
              <w:tab w:val="left" w:pos="5201"/>
            </w:tabs>
            <w:spacing w:before="0"/>
            <w:ind w:left="-108"/>
            <w:jc w:val="center"/>
            <w:rPr>
              <w:rFonts w:ascii="Arial" w:hAnsi="Arial" w:cs="Arial"/>
              <w:sz w:val="16"/>
            </w:rPr>
          </w:pPr>
          <w:r w:rsidRPr="002E653B">
            <w:rPr>
              <w:rFonts w:ascii="Arial" w:hAnsi="Arial" w:cs="Arial"/>
              <w:sz w:val="16"/>
            </w:rPr>
            <w:t xml:space="preserve">Page </w:t>
          </w:r>
          <w:r w:rsidRPr="002E653B">
            <w:rPr>
              <w:rFonts w:ascii="Arial" w:hAnsi="Arial" w:cs="Arial"/>
              <w:sz w:val="16"/>
            </w:rPr>
            <w:fldChar w:fldCharType="begin"/>
          </w:r>
          <w:r w:rsidRPr="002E653B">
            <w:rPr>
              <w:rFonts w:ascii="Arial" w:hAnsi="Arial" w:cs="Arial"/>
              <w:sz w:val="16"/>
            </w:rPr>
            <w:instrText>PAGE  \* Arabic  \* MERGEFORMAT</w:instrText>
          </w:r>
          <w:r w:rsidRPr="002E653B">
            <w:rPr>
              <w:rFonts w:ascii="Arial" w:hAnsi="Arial" w:cs="Arial"/>
              <w:sz w:val="16"/>
            </w:rPr>
            <w:fldChar w:fldCharType="separate"/>
          </w:r>
          <w:r w:rsidRPr="002E653B">
            <w:rPr>
              <w:rFonts w:ascii="Arial" w:hAnsi="Arial" w:cs="Arial"/>
              <w:noProof/>
              <w:sz w:val="16"/>
            </w:rPr>
            <w:t>1</w:t>
          </w:r>
          <w:r w:rsidRPr="002E653B">
            <w:rPr>
              <w:rFonts w:ascii="Arial" w:hAnsi="Arial" w:cs="Arial"/>
              <w:sz w:val="16"/>
            </w:rPr>
            <w:fldChar w:fldCharType="end"/>
          </w:r>
          <w:r w:rsidRPr="002E653B">
            <w:rPr>
              <w:rFonts w:ascii="Arial" w:hAnsi="Arial" w:cs="Arial"/>
              <w:sz w:val="16"/>
            </w:rPr>
            <w:t xml:space="preserve"> of </w:t>
          </w:r>
          <w:r w:rsidRPr="002E653B">
            <w:rPr>
              <w:rFonts w:ascii="Arial" w:hAnsi="Arial" w:cs="Arial"/>
              <w:sz w:val="16"/>
            </w:rPr>
            <w:fldChar w:fldCharType="begin"/>
          </w:r>
          <w:r w:rsidRPr="002E653B">
            <w:rPr>
              <w:rFonts w:ascii="Arial" w:hAnsi="Arial" w:cs="Arial"/>
              <w:sz w:val="16"/>
            </w:rPr>
            <w:instrText>NUMPAGES  \* Arabic  \* MERGEFORMAT</w:instrText>
          </w:r>
          <w:r w:rsidRPr="002E653B">
            <w:rPr>
              <w:rFonts w:ascii="Arial" w:hAnsi="Arial" w:cs="Arial"/>
              <w:sz w:val="16"/>
            </w:rPr>
            <w:fldChar w:fldCharType="separate"/>
          </w:r>
          <w:r w:rsidRPr="002E653B">
            <w:rPr>
              <w:rFonts w:ascii="Arial" w:hAnsi="Arial" w:cs="Arial"/>
              <w:noProof/>
              <w:sz w:val="16"/>
            </w:rPr>
            <w:t>2</w:t>
          </w:r>
          <w:r w:rsidRPr="002E653B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0B7D7CF5" w14:textId="77777777" w:rsidR="00BB1120" w:rsidRDefault="00BB11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5FB04" w14:textId="77777777" w:rsidR="00FA4186" w:rsidRDefault="00FA4186">
      <w:pPr>
        <w:spacing w:after="0" w:line="240" w:lineRule="auto"/>
      </w:pPr>
      <w:r>
        <w:separator/>
      </w:r>
    </w:p>
  </w:footnote>
  <w:footnote w:type="continuationSeparator" w:id="0">
    <w:p w14:paraId="497FD46F" w14:textId="77777777" w:rsidR="00FA4186" w:rsidRDefault="00FA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Web2"/>
      <w:tblW w:w="10093" w:type="dxa"/>
      <w:jc w:val="center"/>
      <w:tblLayout w:type="fixed"/>
      <w:tblLook w:val="01E0" w:firstRow="1" w:lastRow="1" w:firstColumn="1" w:lastColumn="1" w:noHBand="0" w:noVBand="0"/>
    </w:tblPr>
    <w:tblGrid>
      <w:gridCol w:w="7787"/>
      <w:gridCol w:w="2306"/>
    </w:tblGrid>
    <w:tr w:rsidR="00391431" w:rsidRPr="001E41AD" w14:paraId="76895455" w14:textId="77777777" w:rsidTr="00391431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98"/>
        <w:jc w:val="center"/>
      </w:trPr>
      <w:tc>
        <w:tcPr>
          <w:tcW w:w="7595" w:type="dxa"/>
          <w:vAlign w:val="center"/>
        </w:tcPr>
        <w:p w14:paraId="49513738" w14:textId="256A66BF" w:rsidR="00BB1120" w:rsidRPr="00B742C5" w:rsidRDefault="00AC2F0A">
          <w:pPr>
            <w:pStyle w:val="Title"/>
            <w:spacing w:before="0" w:after="0" w:line="240" w:lineRule="auto"/>
            <w:rPr>
              <w:sz w:val="28"/>
              <w:szCs w:val="28"/>
              <w:lang w:val="en-GB"/>
            </w:rPr>
          </w:pPr>
          <w:r>
            <w:rPr>
              <w:sz w:val="22"/>
              <w:szCs w:val="28"/>
              <w:lang w:val="en-GB"/>
            </w:rPr>
            <w:t xml:space="preserve">Annex </w:t>
          </w:r>
          <w:r w:rsidR="00CE7492">
            <w:rPr>
              <w:sz w:val="22"/>
              <w:szCs w:val="28"/>
              <w:lang w:val="en-GB"/>
            </w:rPr>
            <w:t xml:space="preserve">to </w:t>
          </w:r>
          <w:r>
            <w:rPr>
              <w:sz w:val="22"/>
              <w:szCs w:val="28"/>
              <w:lang w:val="en-GB"/>
            </w:rPr>
            <w:t xml:space="preserve">Certification </w:t>
          </w:r>
          <w:r w:rsidR="00CE7492">
            <w:rPr>
              <w:sz w:val="22"/>
              <w:szCs w:val="28"/>
              <w:lang w:val="en-GB"/>
            </w:rPr>
            <w:t>Regulation</w:t>
          </w:r>
        </w:p>
      </w:tc>
      <w:tc>
        <w:tcPr>
          <w:tcW w:w="2208" w:type="dxa"/>
          <w:vMerge w:val="restart"/>
          <w:vAlign w:val="center"/>
        </w:tcPr>
        <w:p w14:paraId="4BC034B0" w14:textId="77777777" w:rsidR="00BB1120" w:rsidRPr="00B742C5" w:rsidRDefault="00AC2F0A">
          <w:pPr>
            <w:pStyle w:val="Title"/>
            <w:spacing w:before="0" w:after="0" w:line="240" w:lineRule="auto"/>
            <w:rPr>
              <w:sz w:val="24"/>
              <w:szCs w:val="24"/>
              <w:lang w:val="en-GB"/>
            </w:rPr>
          </w:pPr>
          <w:r w:rsidRPr="00592E46">
            <w:rPr>
              <w:noProof/>
              <w:sz w:val="24"/>
              <w:szCs w:val="24"/>
              <w:lang w:val="de-AT" w:eastAsia="de-AT"/>
            </w:rPr>
            <w:drawing>
              <wp:anchor distT="0" distB="0" distL="114300" distR="114300" simplePos="0" relativeHeight="251670528" behindDoc="1" locked="0" layoutInCell="1" allowOverlap="1" wp14:anchorId="665890F4" wp14:editId="6EBDC472">
                <wp:simplePos x="0" y="0"/>
                <wp:positionH relativeFrom="column">
                  <wp:posOffset>228600</wp:posOffset>
                </wp:positionH>
                <wp:positionV relativeFrom="paragraph">
                  <wp:posOffset>-700405</wp:posOffset>
                </wp:positionV>
                <wp:extent cx="967740" cy="542925"/>
                <wp:effectExtent l="0" t="0" r="3810" b="9525"/>
                <wp:wrapThrough wrapText="bothSides">
                  <wp:wrapPolygon edited="0">
                    <wp:start x="0" y="0"/>
                    <wp:lineTo x="0" y="21221"/>
                    <wp:lineTo x="21260" y="21221"/>
                    <wp:lineTo x="21260" y="0"/>
                    <wp:lineTo x="0" y="0"/>
                  </wp:wrapPolygon>
                </wp:wrapThrough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uuur   TÜV AUSTRIA Logo   verwend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7740" cy="542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7B21982" w14:textId="77777777" w:rsidR="00BB1120" w:rsidRPr="00B742C5" w:rsidRDefault="00BB1120">
          <w:pPr>
            <w:pStyle w:val="Title"/>
            <w:spacing w:before="0" w:after="0" w:line="240" w:lineRule="auto"/>
            <w:jc w:val="left"/>
            <w:rPr>
              <w:sz w:val="24"/>
              <w:szCs w:val="24"/>
              <w:lang w:val="en-GB"/>
            </w:rPr>
          </w:pPr>
        </w:p>
      </w:tc>
    </w:tr>
    <w:tr w:rsidR="00391431" w:rsidRPr="001E41AD" w14:paraId="7D49BB20" w14:textId="77777777" w:rsidTr="00391431">
      <w:trPr>
        <w:trHeight w:val="360"/>
        <w:jc w:val="center"/>
      </w:trPr>
      <w:tc>
        <w:tcPr>
          <w:tcW w:w="7595" w:type="dxa"/>
          <w:vAlign w:val="center"/>
        </w:tcPr>
        <w:p w14:paraId="0D75455B" w14:textId="77777777" w:rsidR="00BB1120" w:rsidRPr="002840D2" w:rsidRDefault="00AC2F0A">
          <w:pPr>
            <w:pStyle w:val="Title"/>
            <w:spacing w:before="0" w:after="0" w:line="240" w:lineRule="auto"/>
            <w:rPr>
              <w:sz w:val="24"/>
              <w:szCs w:val="24"/>
              <w:lang w:val="en-GB"/>
            </w:rPr>
          </w:pPr>
          <w:r w:rsidRPr="002840D2">
            <w:rPr>
              <w:sz w:val="16"/>
              <w:szCs w:val="20"/>
              <w:lang w:val="en-GB"/>
            </w:rPr>
            <w:t xml:space="preserve">TÜV AUSTRIA Group – Business </w:t>
          </w:r>
          <w:r>
            <w:rPr>
              <w:sz w:val="16"/>
              <w:szCs w:val="20"/>
              <w:lang w:val="en-US"/>
            </w:rPr>
            <w:t>Assurance</w:t>
          </w:r>
        </w:p>
      </w:tc>
      <w:tc>
        <w:tcPr>
          <w:tcW w:w="2208" w:type="dxa"/>
          <w:vMerge/>
          <w:vAlign w:val="center"/>
        </w:tcPr>
        <w:p w14:paraId="66F26CED" w14:textId="77777777" w:rsidR="00BB1120" w:rsidRPr="002840D2" w:rsidRDefault="00BB1120">
          <w:pPr>
            <w:pStyle w:val="Title"/>
            <w:spacing w:before="0" w:after="0" w:line="240" w:lineRule="auto"/>
            <w:rPr>
              <w:noProof/>
              <w:sz w:val="24"/>
              <w:szCs w:val="24"/>
              <w:lang w:val="en-GB" w:eastAsia="de-AT"/>
            </w:rPr>
          </w:pPr>
        </w:p>
      </w:tc>
    </w:tr>
  </w:tbl>
  <w:p w14:paraId="109CC492" w14:textId="1917F726" w:rsidR="00BB1120" w:rsidRPr="00AB3A51" w:rsidRDefault="00AB3A51" w:rsidP="00AB3A51">
    <w:pPr>
      <w:pStyle w:val="Title"/>
      <w:spacing w:before="0" w:after="0" w:line="240" w:lineRule="auto"/>
      <w:ind w:right="-4"/>
      <w:jc w:val="right"/>
      <w:rPr>
        <w:b w:val="0"/>
        <w:bCs w:val="0"/>
        <w:sz w:val="16"/>
        <w:szCs w:val="28"/>
        <w:lang w:val="en-GB"/>
      </w:rPr>
    </w:pPr>
    <w:r>
      <w:rPr>
        <w:b w:val="0"/>
        <w:bCs w:val="0"/>
        <w:sz w:val="16"/>
        <w:szCs w:val="28"/>
        <w:lang w:val="en-GB"/>
      </w:rPr>
      <w:t>KFM-002b, Rev.01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0.6pt;height:31.2pt" o:bullet="t">
        <v:imagedata r:id="rId1" o:title="Haken_Klein"/>
      </v:shape>
    </w:pict>
  </w:numPicBullet>
  <w:abstractNum w:abstractNumId="0" w15:restartNumberingAfterBreak="0">
    <w:nsid w:val="0A5753D7"/>
    <w:multiLevelType w:val="hybridMultilevel"/>
    <w:tmpl w:val="7068A764"/>
    <w:lvl w:ilvl="0" w:tplc="2D7E96C2">
      <w:start w:val="1"/>
      <w:numFmt w:val="bullet"/>
      <w:lvlText w:val=""/>
      <w:lvlJc w:val="left"/>
      <w:pPr>
        <w:ind w:left="1146" w:hanging="720"/>
      </w:pPr>
      <w:rPr>
        <w:rFonts w:ascii="Wingdings" w:hAnsi="Wingdings" w:hint="default"/>
        <w:color w:val="000000" w:themeColor="text1"/>
      </w:rPr>
    </w:lvl>
    <w:lvl w:ilvl="1" w:tplc="0408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A312EB"/>
    <w:multiLevelType w:val="hybridMultilevel"/>
    <w:tmpl w:val="DA381F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D4EE6"/>
    <w:multiLevelType w:val="hybridMultilevel"/>
    <w:tmpl w:val="1E02A006"/>
    <w:lvl w:ilvl="0" w:tplc="E384E9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022C4"/>
    <w:multiLevelType w:val="hybridMultilevel"/>
    <w:tmpl w:val="E62240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64C65"/>
    <w:multiLevelType w:val="hybridMultilevel"/>
    <w:tmpl w:val="68749AB8"/>
    <w:lvl w:ilvl="0" w:tplc="E384E9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C34D7"/>
    <w:multiLevelType w:val="hybridMultilevel"/>
    <w:tmpl w:val="D7FC762C"/>
    <w:lvl w:ilvl="0" w:tplc="8B2A2D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66457D6"/>
    <w:multiLevelType w:val="hybridMultilevel"/>
    <w:tmpl w:val="0B2A9988"/>
    <w:lvl w:ilvl="0" w:tplc="E384E9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D33812"/>
    <w:multiLevelType w:val="hybridMultilevel"/>
    <w:tmpl w:val="82708108"/>
    <w:lvl w:ilvl="0" w:tplc="E384E9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9B7B94"/>
    <w:multiLevelType w:val="hybridMultilevel"/>
    <w:tmpl w:val="5DEEF668"/>
    <w:lvl w:ilvl="0" w:tplc="E384E9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53241"/>
    <w:multiLevelType w:val="hybridMultilevel"/>
    <w:tmpl w:val="C25482AC"/>
    <w:lvl w:ilvl="0" w:tplc="DD024C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6F53DA"/>
    <w:multiLevelType w:val="hybridMultilevel"/>
    <w:tmpl w:val="3BB06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3AB"/>
    <w:multiLevelType w:val="multilevel"/>
    <w:tmpl w:val="12E07BE0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7151042C"/>
    <w:multiLevelType w:val="hybridMultilevel"/>
    <w:tmpl w:val="7B40D2BA"/>
    <w:lvl w:ilvl="0" w:tplc="E384E9CC">
      <w:start w:val="1"/>
      <w:numFmt w:val="bullet"/>
      <w:lvlText w:val=""/>
      <w:lvlPicBulletId w:val="0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08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08000F">
      <w:start w:val="1"/>
      <w:numFmt w:val="decimal"/>
      <w:lvlText w:val="%3."/>
      <w:lvlJc w:val="left"/>
      <w:pPr>
        <w:tabs>
          <w:tab w:val="num" w:pos="2406"/>
        </w:tabs>
        <w:ind w:left="2406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71BC185B"/>
    <w:multiLevelType w:val="hybridMultilevel"/>
    <w:tmpl w:val="2162196E"/>
    <w:lvl w:ilvl="0" w:tplc="E384E9CC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2E207FE"/>
    <w:multiLevelType w:val="hybridMultilevel"/>
    <w:tmpl w:val="9A064652"/>
    <w:lvl w:ilvl="0" w:tplc="E384E9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24F1"/>
    <w:multiLevelType w:val="hybridMultilevel"/>
    <w:tmpl w:val="A60A7574"/>
    <w:lvl w:ilvl="0" w:tplc="E384E9CC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 w16cid:durableId="1808543290">
    <w:abstractNumId w:val="1"/>
  </w:num>
  <w:num w:numId="2" w16cid:durableId="1301695144">
    <w:abstractNumId w:val="12"/>
  </w:num>
  <w:num w:numId="3" w16cid:durableId="2098211608">
    <w:abstractNumId w:val="11"/>
  </w:num>
  <w:num w:numId="4" w16cid:durableId="1129933717">
    <w:abstractNumId w:val="10"/>
  </w:num>
  <w:num w:numId="5" w16cid:durableId="610160838">
    <w:abstractNumId w:val="3"/>
  </w:num>
  <w:num w:numId="6" w16cid:durableId="215093576">
    <w:abstractNumId w:val="6"/>
  </w:num>
  <w:num w:numId="7" w16cid:durableId="670572731">
    <w:abstractNumId w:val="7"/>
  </w:num>
  <w:num w:numId="8" w16cid:durableId="1427190775">
    <w:abstractNumId w:val="0"/>
  </w:num>
  <w:num w:numId="9" w16cid:durableId="1989282221">
    <w:abstractNumId w:val="2"/>
  </w:num>
  <w:num w:numId="10" w16cid:durableId="1993025671">
    <w:abstractNumId w:val="14"/>
  </w:num>
  <w:num w:numId="11" w16cid:durableId="1473252298">
    <w:abstractNumId w:val="5"/>
  </w:num>
  <w:num w:numId="12" w16cid:durableId="1556087876">
    <w:abstractNumId w:val="8"/>
  </w:num>
  <w:num w:numId="13" w16cid:durableId="397479250">
    <w:abstractNumId w:val="4"/>
  </w:num>
  <w:num w:numId="14" w16cid:durableId="408842653">
    <w:abstractNumId w:val="9"/>
  </w:num>
  <w:num w:numId="15" w16cid:durableId="2147359367">
    <w:abstractNumId w:val="13"/>
  </w:num>
  <w:num w:numId="16" w16cid:durableId="2133672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2F0A"/>
    <w:rsid w:val="000C6F38"/>
    <w:rsid w:val="000F113E"/>
    <w:rsid w:val="000F3925"/>
    <w:rsid w:val="00132C3D"/>
    <w:rsid w:val="001711E4"/>
    <w:rsid w:val="001F77FC"/>
    <w:rsid w:val="00251221"/>
    <w:rsid w:val="00281287"/>
    <w:rsid w:val="002919AF"/>
    <w:rsid w:val="002E653B"/>
    <w:rsid w:val="002F0CF5"/>
    <w:rsid w:val="003068FE"/>
    <w:rsid w:val="00365E9B"/>
    <w:rsid w:val="00386910"/>
    <w:rsid w:val="00391431"/>
    <w:rsid w:val="003E7B3E"/>
    <w:rsid w:val="00403163"/>
    <w:rsid w:val="00440410"/>
    <w:rsid w:val="00482127"/>
    <w:rsid w:val="00520D57"/>
    <w:rsid w:val="0053233F"/>
    <w:rsid w:val="00543D46"/>
    <w:rsid w:val="00587B9D"/>
    <w:rsid w:val="005D668F"/>
    <w:rsid w:val="005F2C4D"/>
    <w:rsid w:val="00620785"/>
    <w:rsid w:val="00667E72"/>
    <w:rsid w:val="0068312F"/>
    <w:rsid w:val="006C0455"/>
    <w:rsid w:val="00752F2B"/>
    <w:rsid w:val="007742BC"/>
    <w:rsid w:val="00793FE2"/>
    <w:rsid w:val="007C7D03"/>
    <w:rsid w:val="00814F38"/>
    <w:rsid w:val="008151AF"/>
    <w:rsid w:val="008809C6"/>
    <w:rsid w:val="008C2DFC"/>
    <w:rsid w:val="008D3107"/>
    <w:rsid w:val="00915C6C"/>
    <w:rsid w:val="00916BB7"/>
    <w:rsid w:val="00921C85"/>
    <w:rsid w:val="00930C0A"/>
    <w:rsid w:val="009A5CD6"/>
    <w:rsid w:val="009B3019"/>
    <w:rsid w:val="009E0A52"/>
    <w:rsid w:val="009F11CC"/>
    <w:rsid w:val="00A0085B"/>
    <w:rsid w:val="00A00A19"/>
    <w:rsid w:val="00A102C2"/>
    <w:rsid w:val="00A5006F"/>
    <w:rsid w:val="00A960B6"/>
    <w:rsid w:val="00A979CF"/>
    <w:rsid w:val="00AA5CBE"/>
    <w:rsid w:val="00AA60BA"/>
    <w:rsid w:val="00AB3A51"/>
    <w:rsid w:val="00AC2F0A"/>
    <w:rsid w:val="00B02E1C"/>
    <w:rsid w:val="00B35433"/>
    <w:rsid w:val="00B42D12"/>
    <w:rsid w:val="00BB1120"/>
    <w:rsid w:val="00BD0176"/>
    <w:rsid w:val="00BD1129"/>
    <w:rsid w:val="00BD2CAD"/>
    <w:rsid w:val="00BF7801"/>
    <w:rsid w:val="00C613B4"/>
    <w:rsid w:val="00CE7492"/>
    <w:rsid w:val="00D30F07"/>
    <w:rsid w:val="00D6214F"/>
    <w:rsid w:val="00D66440"/>
    <w:rsid w:val="00DF5CF7"/>
    <w:rsid w:val="00E531B3"/>
    <w:rsid w:val="00E86058"/>
    <w:rsid w:val="00E86E81"/>
    <w:rsid w:val="00EF2CF2"/>
    <w:rsid w:val="00FA4186"/>
    <w:rsid w:val="00FB04C9"/>
    <w:rsid w:val="00FD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245425B"/>
  <w15:docId w15:val="{CC7A8979-7851-4054-8955-82C903254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F0A"/>
    <w:pPr>
      <w:widowControl w:val="0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D03"/>
    <w:pPr>
      <w:keepNext/>
      <w:widowControl/>
      <w:numPr>
        <w:numId w:val="3"/>
      </w:numPr>
      <w:spacing w:after="0" w:line="240" w:lineRule="auto"/>
      <w:jc w:val="both"/>
      <w:outlineLvl w:val="0"/>
    </w:pPr>
    <w:rPr>
      <w:rFonts w:ascii="Arial" w:eastAsia="Times New Roman" w:hAnsi="Arial" w:cs="Times New Roman"/>
      <w:b/>
      <w:bCs/>
      <w:kern w:val="32"/>
      <w:sz w:val="24"/>
      <w:szCs w:val="32"/>
      <w:lang w:val="en-GB" w:eastAsia="x-none"/>
    </w:rPr>
  </w:style>
  <w:style w:type="paragraph" w:styleId="Heading2">
    <w:name w:val="heading 2"/>
    <w:basedOn w:val="Heading1"/>
    <w:next w:val="Normal"/>
    <w:link w:val="Heading2Char"/>
    <w:autoRedefine/>
    <w:qFormat/>
    <w:rsid w:val="007C7D03"/>
    <w:pPr>
      <w:numPr>
        <w:ilvl w:val="1"/>
      </w:numPr>
      <w:spacing w:before="160" w:after="100" w:line="276" w:lineRule="auto"/>
      <w:outlineLvl w:val="1"/>
    </w:pPr>
    <w:rPr>
      <w:szCs w:val="24"/>
      <w:lang w:val="el-GR"/>
    </w:rPr>
  </w:style>
  <w:style w:type="paragraph" w:styleId="Heading3">
    <w:name w:val="heading 3"/>
    <w:basedOn w:val="ListParagraph"/>
    <w:next w:val="Normal"/>
    <w:link w:val="Heading3Char"/>
    <w:uiPriority w:val="9"/>
    <w:qFormat/>
    <w:rsid w:val="007C7D03"/>
    <w:pPr>
      <w:widowControl/>
      <w:numPr>
        <w:ilvl w:val="2"/>
        <w:numId w:val="3"/>
      </w:numPr>
      <w:spacing w:before="240" w:after="24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4"/>
      <w:lang w:val="el-GR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D03"/>
    <w:pPr>
      <w:keepNext/>
      <w:widowControl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el-GR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7D03"/>
    <w:pPr>
      <w:widowControl/>
      <w:numPr>
        <w:ilvl w:val="4"/>
        <w:numId w:val="3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l-GR" w:eastAsia="x-none"/>
    </w:rPr>
  </w:style>
  <w:style w:type="paragraph" w:styleId="Heading6">
    <w:name w:val="heading 6"/>
    <w:basedOn w:val="Normal"/>
    <w:next w:val="NormalIndent"/>
    <w:link w:val="Heading6Char"/>
    <w:qFormat/>
    <w:rsid w:val="007C7D03"/>
    <w:pPr>
      <w:widowControl/>
      <w:numPr>
        <w:ilvl w:val="5"/>
        <w:numId w:val="3"/>
      </w:numPr>
      <w:spacing w:after="0" w:line="240" w:lineRule="auto"/>
      <w:jc w:val="both"/>
      <w:outlineLvl w:val="5"/>
    </w:pPr>
    <w:rPr>
      <w:rFonts w:ascii="Arial" w:eastAsia="Times New Roman" w:hAnsi="Arial" w:cs="Times New Roman"/>
      <w:sz w:val="20"/>
      <w:szCs w:val="20"/>
      <w:u w:val="single"/>
      <w:lang w:val="de-D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7D03"/>
    <w:pPr>
      <w:keepNext/>
      <w:keepLines/>
      <w:widowControl/>
      <w:numPr>
        <w:ilvl w:val="6"/>
        <w:numId w:val="3"/>
      </w:numPr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lang w:val="el-GR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D03"/>
    <w:pPr>
      <w:keepNext/>
      <w:keepLines/>
      <w:widowControl/>
      <w:numPr>
        <w:ilvl w:val="7"/>
        <w:numId w:val="3"/>
      </w:numPr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el-GR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7D03"/>
    <w:pPr>
      <w:keepNext/>
      <w:keepLines/>
      <w:widowControl/>
      <w:numPr>
        <w:ilvl w:val="8"/>
        <w:numId w:val="3"/>
      </w:numPr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l-GR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AC2F0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C2F0A"/>
    <w:rPr>
      <w:lang w:val="en-US"/>
    </w:rPr>
  </w:style>
  <w:style w:type="paragraph" w:styleId="Title">
    <w:name w:val="Title"/>
    <w:basedOn w:val="Normal"/>
    <w:link w:val="TitleChar"/>
    <w:qFormat/>
    <w:rsid w:val="00AC2F0A"/>
    <w:pPr>
      <w:widowControl/>
      <w:spacing w:before="240" w:after="60" w:line="240" w:lineRule="atLeast"/>
      <w:jc w:val="center"/>
      <w:outlineLvl w:val="0"/>
    </w:pPr>
    <w:rPr>
      <w:rFonts w:ascii="Arial" w:eastAsia="Times New Roman" w:hAnsi="Arial" w:cs="Arial"/>
      <w:b/>
      <w:bCs/>
      <w:kern w:val="28"/>
      <w:sz w:val="48"/>
      <w:szCs w:val="32"/>
      <w:lang w:val="de-DE" w:eastAsia="de-DE"/>
    </w:rPr>
  </w:style>
  <w:style w:type="character" w:customStyle="1" w:styleId="TitleChar">
    <w:name w:val="Title Char"/>
    <w:basedOn w:val="DefaultParagraphFont"/>
    <w:link w:val="Title"/>
    <w:rsid w:val="00AC2F0A"/>
    <w:rPr>
      <w:rFonts w:ascii="Arial" w:eastAsia="Times New Roman" w:hAnsi="Arial" w:cs="Arial"/>
      <w:b/>
      <w:bCs/>
      <w:kern w:val="28"/>
      <w:sz w:val="48"/>
      <w:szCs w:val="32"/>
      <w:lang w:val="de-DE" w:eastAsia="de-DE"/>
    </w:rPr>
  </w:style>
  <w:style w:type="table" w:styleId="TableWeb2">
    <w:name w:val="Table Web 2"/>
    <w:basedOn w:val="TableNormal"/>
    <w:rsid w:val="00AC2F0A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val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3">
    <w:name w:val="toc 3"/>
    <w:basedOn w:val="Normal"/>
    <w:next w:val="Normal"/>
    <w:semiHidden/>
    <w:rsid w:val="00AC2F0A"/>
    <w:pPr>
      <w:widowControl/>
      <w:tabs>
        <w:tab w:val="left" w:pos="2138"/>
        <w:tab w:val="left" w:pos="8505"/>
        <w:tab w:val="right" w:pos="8788"/>
      </w:tabs>
      <w:spacing w:before="20" w:after="20" w:line="240" w:lineRule="auto"/>
      <w:ind w:left="1843" w:right="851" w:hanging="851"/>
    </w:pPr>
    <w:rPr>
      <w:rFonts w:ascii="Arial" w:eastAsia="Times New Roman" w:hAnsi="Arial" w:cs="Arial"/>
      <w:sz w:val="24"/>
      <w:szCs w:val="24"/>
      <w:lang w:val="en-GB"/>
    </w:rPr>
  </w:style>
  <w:style w:type="paragraph" w:styleId="BodyTextIndent3">
    <w:name w:val="Body Text Indent 3"/>
    <w:basedOn w:val="Normal"/>
    <w:link w:val="BodyTextIndent3Char"/>
    <w:rsid w:val="00AC2F0A"/>
    <w:pPr>
      <w:widowControl/>
      <w:spacing w:after="120" w:line="240" w:lineRule="auto"/>
      <w:ind w:left="283"/>
      <w:jc w:val="both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AC2F0A"/>
    <w:rPr>
      <w:rFonts w:ascii="Arial" w:eastAsia="Times New Roman" w:hAnsi="Arial" w:cs="Times New Roman"/>
      <w:sz w:val="16"/>
      <w:szCs w:val="16"/>
      <w:lang w:val="en-GB"/>
    </w:rPr>
  </w:style>
  <w:style w:type="table" w:customStyle="1" w:styleId="TableWeb21">
    <w:name w:val="Table Web 21"/>
    <w:basedOn w:val="TableNormal"/>
    <w:next w:val="TableWeb2"/>
    <w:rsid w:val="00FD7E8D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E74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492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C7D03"/>
    <w:rPr>
      <w:rFonts w:ascii="Arial" w:eastAsia="Times New Roman" w:hAnsi="Arial" w:cs="Times New Roman"/>
      <w:b/>
      <w:bCs/>
      <w:kern w:val="32"/>
      <w:sz w:val="24"/>
      <w:szCs w:val="32"/>
      <w:lang w:val="en-GB" w:eastAsia="x-none"/>
    </w:rPr>
  </w:style>
  <w:style w:type="character" w:customStyle="1" w:styleId="Heading2Char">
    <w:name w:val="Heading 2 Char"/>
    <w:basedOn w:val="DefaultParagraphFont"/>
    <w:link w:val="Heading2"/>
    <w:rsid w:val="007C7D03"/>
    <w:rPr>
      <w:rFonts w:ascii="Arial" w:eastAsia="Times New Roman" w:hAnsi="Arial" w:cs="Times New Roman"/>
      <w:b/>
      <w:bCs/>
      <w:kern w:val="32"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C7D03"/>
    <w:rPr>
      <w:rFonts w:ascii="Arial" w:eastAsia="Times New Roman" w:hAnsi="Arial" w:cs="Times New Roman"/>
      <w:b/>
      <w:sz w:val="24"/>
      <w:szCs w:val="24"/>
      <w:lang w:eastAsia="x-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D03"/>
    <w:rPr>
      <w:rFonts w:ascii="Calibri" w:eastAsia="Times New Roman" w:hAnsi="Calibri" w:cs="Times New Roman"/>
      <w:b/>
      <w:bCs/>
      <w:sz w:val="28"/>
      <w:szCs w:val="28"/>
      <w:lang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7D03"/>
    <w:rPr>
      <w:rFonts w:ascii="Calibri" w:eastAsia="Times New Roman" w:hAnsi="Calibri" w:cs="Times New Roman"/>
      <w:b/>
      <w:bCs/>
      <w:i/>
      <w:iCs/>
      <w:sz w:val="26"/>
      <w:szCs w:val="26"/>
      <w:lang w:eastAsia="x-none"/>
    </w:rPr>
  </w:style>
  <w:style w:type="character" w:customStyle="1" w:styleId="Heading6Char">
    <w:name w:val="Heading 6 Char"/>
    <w:basedOn w:val="DefaultParagraphFont"/>
    <w:link w:val="Heading6"/>
    <w:rsid w:val="007C7D03"/>
    <w:rPr>
      <w:rFonts w:ascii="Arial" w:eastAsia="Times New Roman" w:hAnsi="Arial" w:cs="Times New Roman"/>
      <w:sz w:val="20"/>
      <w:szCs w:val="20"/>
      <w:u w:val="single"/>
      <w:lang w:val="de-D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7D03"/>
    <w:rPr>
      <w:rFonts w:ascii="Cambria" w:eastAsia="Times New Roman" w:hAnsi="Cambria" w:cs="Times New Roman"/>
      <w:i/>
      <w:iCs/>
      <w:color w:val="404040"/>
      <w:lang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7D03"/>
    <w:rPr>
      <w:rFonts w:ascii="Cambria" w:eastAsia="Times New Roman" w:hAnsi="Cambria" w:cs="Times New Roman"/>
      <w:color w:val="404040"/>
      <w:sz w:val="20"/>
      <w:szCs w:val="20"/>
      <w:lang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7D03"/>
    <w:rPr>
      <w:rFonts w:ascii="Cambria" w:eastAsia="Times New Roman" w:hAnsi="Cambria" w:cs="Times New Roman"/>
      <w:i/>
      <w:iCs/>
      <w:color w:val="404040"/>
      <w:sz w:val="20"/>
      <w:szCs w:val="20"/>
      <w:lang w:eastAsia="x-none"/>
    </w:rPr>
  </w:style>
  <w:style w:type="paragraph" w:styleId="ListParagraph">
    <w:name w:val="List Paragraph"/>
    <w:basedOn w:val="Normal"/>
    <w:uiPriority w:val="34"/>
    <w:qFormat/>
    <w:rsid w:val="007C7D03"/>
    <w:pPr>
      <w:ind w:left="720"/>
      <w:contextualSpacing/>
    </w:pPr>
  </w:style>
  <w:style w:type="paragraph" w:styleId="NormalIndent">
    <w:name w:val="Normal Indent"/>
    <w:basedOn w:val="Normal"/>
    <w:uiPriority w:val="99"/>
    <w:semiHidden/>
    <w:unhideWhenUsed/>
    <w:rsid w:val="007C7D03"/>
    <w:pPr>
      <w:ind w:left="720"/>
    </w:pPr>
  </w:style>
  <w:style w:type="paragraph" w:customStyle="1" w:styleId="Default">
    <w:name w:val="Default"/>
    <w:rsid w:val="007C7D0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character" w:styleId="Hyperlink">
    <w:name w:val="Hyperlink"/>
    <w:basedOn w:val="DefaultParagraphFont"/>
    <w:uiPriority w:val="99"/>
    <w:unhideWhenUsed/>
    <w:rsid w:val="004821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61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sta@anove.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Edit>_layouts/15/Tuev.Khb/EditDoc.aspx</Edit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535a45-5d4a-4b51-b3c9-9fb22c47900e">
      <Value>14</Value>
      <Value>8</Value>
      <Value>54</Value>
      <Value>971</Value>
      <Value>18</Value>
      <Value>187</Value>
    </TaxCatchAll>
    <KHBLetzteGenehmigung xmlns="c00a56e6-7cd9-4ba5-b32c-fa56f30030d6">2021-02-21T23:00:00+00:00</KHBLetzteGenehmigung>
    <KHBErsteller xmlns="c00a56e6-7cd9-4ba5-b32c-fa56f30030d6">
      <UserInfo>
        <DisplayName>Angeloudis Charalampos</DisplayName>
        <AccountId>1198</AccountId>
        <AccountType/>
      </UserInfo>
    </KHBErsteller>
    <KHB_Status xmlns="c00a56e6-7cd9-4ba5-b32c-fa56f30030d6">Genehmigt</KHB_Status>
    <IconOverlay xmlns="http://schemas.microsoft.com/sharepoint/v4">|docx|lockoverlay.png</IconOverlay>
    <KHBGenehmigungskommentar xmlns="c00a56e6-7cd9-4ba5-b32c-fa56f30030d6">22.02.2021, 10:48 - Kallias Ioannis: Approved
14.12.2020, 06:51 - Karacsonyi Andreas: ok
02.12.2020, 13:38 - Ladich Alexander: i.O.
</KHBGenehmigungskommentar>
    <KHBFreigeber xmlns="c00a56e6-7cd9-4ba5-b32c-fa56f30030d6">
      <UserInfo>
        <DisplayName>Kallias Ioannis</DisplayName>
        <AccountId>1200</AccountId>
        <AccountType/>
      </UserInfo>
    </KHBFreigeber>
    <KHBStelleTaxHTField0 xmlns="c00a56e6-7cd9-4ba5-b32c-fa56f30030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MsZ (Managementsystem-Zertifizierung)</TermName>
          <TermId xmlns="http://schemas.microsoft.com/office/infopath/2007/PartnerControls">596843ea-554c-41dc-9f0a-3f7f0b14eee1</TermId>
        </TermInfo>
      </Terms>
    </KHBStelleTaxHTField0>
    <G_x00fc_ltigkeit_x0020_bis xmlns="c00a56e6-7cd9-4ba5-b32c-fa56f30030d6" xsi:nil="true"/>
    <KHBDokumentenartTaxHTField0 xmlns="c00a56e6-7cd9-4ba5-b32c-fa56f30030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VB (Verfahrensbeschreibung)</TermName>
          <TermId xmlns="http://schemas.microsoft.com/office/infopath/2007/PartnerControls">fec370b3-f5c8-4adc-a872-0ed54d1e3850</TermId>
        </TermInfo>
      </Terms>
    </KHBDokumentenartTaxHTField0>
    <KHBRevision xmlns="c00a56e6-7cd9-4ba5-b32c-fa56f30030d6">00</KHBRevision>
    <KHBPruefer xmlns="c00a56e6-7cd9-4ba5-b32c-fa56f30030d6">
      <UserInfo>
        <DisplayName>Karacsonyi Andreas;#172;#Ladich Alexander</DisplayName>
        <AccountId>195</AccountId>
        <AccountType/>
      </UserInfo>
    </KHBPruefer>
    <KHBDokumentSpracheTaxHTField0 xmlns="c00a56e6-7cd9-4ba5-b32c-fa56f30030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englisch</TermName>
          <TermId xmlns="http://schemas.microsoft.com/office/infopath/2007/PartnerControls">bf69c23f-91f4-4295-8ea7-b6bbb1f528c0</TermId>
        </TermInfo>
      </Terms>
    </KHBDokumentSpracheTaxHTField0>
    <KHBVertraulichkeitTaxHTField0 xmlns="c00a56e6-7cd9-4ba5-b32c-fa56f30030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</TermName>
          <TermId xmlns="http://schemas.microsoft.com/office/infopath/2007/PartnerControls">5e7178bd-2288-4456-a89a-6593a769b5ce</TermId>
        </TermInfo>
      </Terms>
    </KHBVertraulichkeitTaxHTField0>
    <KHBProduktbereicheTaxHTField0 xmlns="c00a56e6-7cd9-4ba5-b32c-fa56f30030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Procedures</TermName>
          <TermId xmlns="http://schemas.microsoft.com/office/infopath/2007/PartnerControls">836d8b0b-a68d-4993-9cdd-967439f5055a</TermId>
        </TermInfo>
      </Terms>
    </KHBProduktbereicheTaxHTField0>
    <KHBFirmaTaxHTField0 xmlns="c00a56e6-7cd9-4ba5-b32c-fa56f30030d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TÜV AUSTRIA HELLAS Ltd.</TermName>
          <TermId xmlns="http://schemas.microsoft.com/office/infopath/2007/PartnerControls">82aeaaff-8348-40bf-b779-024b0ea58e40</TermId>
        </TermInfo>
      </Terms>
    </KHBFirmaTaxHTField0>
    <_dlc_ExpireDateSaved xmlns="http://schemas.microsoft.com/sharepoint/v3" xsi:nil="true"/>
    <_dlc_ExpireDate xmlns="http://schemas.microsoft.com/sharepoint/v3">2026-02-21T23:00:00+00:00</_dlc_ExpireDate>
    <_vti_ItemDeclaredRecord xmlns="http://schemas.microsoft.com/sharepoint/v3">2021-02-22T09:48:49+00:00</_vti_ItemDeclaredRecord>
    <_vti_ItemHoldRecordStatus xmlns="http://schemas.microsoft.com/sharepoint/v3">273</_vti_ItemHoldRecord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ÜV-KHB-Dokument" ma:contentTypeID="0x0101000F0F40A61E79486BA522E556366FC50600D69DC16813CCAC4199E3748EC41310F8" ma:contentTypeVersion="38" ma:contentTypeDescription="Inhaltstyp für Dokumente des Konzernhandbuchs" ma:contentTypeScope="" ma:versionID="dff5f5c7dd9aced2e87f745358157381">
  <xsd:schema xmlns:xsd="http://www.w3.org/2001/XMLSchema" xmlns:xs="http://www.w3.org/2001/XMLSchema" xmlns:p="http://schemas.microsoft.com/office/2006/metadata/properties" xmlns:ns1="http://schemas.microsoft.com/sharepoint/v3" xmlns:ns2="c00a56e6-7cd9-4ba5-b32c-fa56f30030d6" xmlns:ns3="ff535a45-5d4a-4b51-b3c9-9fb22c47900e" xmlns:ns4="http://schemas.microsoft.com/sharepoint/v4" targetNamespace="http://schemas.microsoft.com/office/2006/metadata/properties" ma:root="true" ma:fieldsID="0829528e5e728066354fab3b28ebcc2e" ns1:_="" ns2:_="" ns3:_="" ns4:_="">
    <xsd:import namespace="http://schemas.microsoft.com/sharepoint/v3"/>
    <xsd:import namespace="c00a56e6-7cd9-4ba5-b32c-fa56f30030d6"/>
    <xsd:import namespace="ff535a45-5d4a-4b51-b3c9-9fb22c4790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KHBRevision"/>
                <xsd:element ref="ns2:KHBErsteller"/>
                <xsd:element ref="ns2:KHBPruefer"/>
                <xsd:element ref="ns2:KHBFreigeber"/>
                <xsd:element ref="ns2:KHBGenehmigungskommentar" minOccurs="0"/>
                <xsd:element ref="ns2:KHBLetzteGenehmigung" minOccurs="0"/>
                <xsd:element ref="ns2:KHB_Status" minOccurs="0"/>
                <xsd:element ref="ns2:KHBDokumentenartTaxHTField0" minOccurs="0"/>
                <xsd:element ref="ns2:KHBStelleTaxHTField0" minOccurs="0"/>
                <xsd:element ref="ns2:KHBProduktbereicheTaxHTField0" minOccurs="0"/>
                <xsd:element ref="ns2:KHBDokumentSpracheTaxHTField0" minOccurs="0"/>
                <xsd:element ref="ns2:KHBFirmaTaxHTField0" minOccurs="0"/>
                <xsd:element ref="ns3:TaxCatchAll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1:_dlc_Exempt" minOccurs="0"/>
                <xsd:element ref="ns1:_dlc_ExpireDateSaved" minOccurs="0"/>
                <xsd:element ref="ns1:_dlc_ExpireDate" minOccurs="0"/>
                <xsd:element ref="ns2:KHBVertraulichkeitTaxHTField0" minOccurs="0"/>
                <xsd:element ref="ns2:G_x00fc_ltigkeit_x0020_b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8" nillable="true" ma:displayName="Deklarierter Datensatz" ma:hidden="true" ma:internalName="_vti_ItemDeclaredRecord" ma:readOnly="true">
      <xsd:simpleType>
        <xsd:restriction base="dms:DateTime"/>
      </xsd:simpleType>
    </xsd:element>
    <xsd:element name="_vti_ItemHoldRecordStatus" ma:index="29" nillable="true" ma:displayName="Halte- und Datensatzstatus" ma:decimals="0" ma:description="" ma:hidden="true" ma:indexed="true" ma:internalName="_vti_ItemHoldRecordStatus" ma:readOnly="true">
      <xsd:simpleType>
        <xsd:restriction base="dms:Unknown"/>
      </xsd:simpleType>
    </xsd:element>
    <xsd:element name="_dlc_Exempt" ma:index="30" nillable="true" ma:displayName="Von der Richtlinie ausgenommen" ma:hidden="true" ma:internalName="_dlc_Exempt" ma:readOnly="true">
      <xsd:simpleType>
        <xsd:restriction base="dms:Unknown"/>
      </xsd:simpleType>
    </xsd:element>
    <xsd:element name="_dlc_ExpireDateSaved" ma:index="31" nillable="true" ma:displayName="Ursprüngliches Ablaufdatum" ma:hidden="true" ma:internalName="_dlc_ExpireDateSaved" ma:readOnly="true">
      <xsd:simpleType>
        <xsd:restriction base="dms:DateTime"/>
      </xsd:simpleType>
    </xsd:element>
    <xsd:element name="_dlc_ExpireDate" ma:index="32" nillable="true" ma:displayName="Ablauf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a56e6-7cd9-4ba5-b32c-fa56f30030d6" elementFormDefault="qualified">
    <xsd:import namespace="http://schemas.microsoft.com/office/2006/documentManagement/types"/>
    <xsd:import namespace="http://schemas.microsoft.com/office/infopath/2007/PartnerControls"/>
    <xsd:element name="KHBRevision" ma:index="8" ma:displayName="Revision" ma:internalName="KHBRevision">
      <xsd:simpleType>
        <xsd:restriction base="dms:Text">
          <xsd:maxLength value="255"/>
        </xsd:restriction>
      </xsd:simpleType>
    </xsd:element>
    <xsd:element name="KHBErsteller" ma:index="9" ma:displayName="Dokument Ersteller" ma:list="UserInfo" ma:internalName="KHBErstell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HBPruefer" ma:index="10" ma:displayName="Prüfer" ma:list="UserInfo" ma:internalName="KHBPruef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HBFreigeber" ma:index="11" ma:displayName="Freigeber" ma:list="UserInfo" ma:internalName="KHBFreigeb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HBGenehmigungskommentar" ma:index="12" nillable="true" ma:displayName="Genehmigungskommentare" ma:internalName="KHBGenehmigungskommentar">
      <xsd:simpleType>
        <xsd:restriction base="dms:Note">
          <xsd:maxLength value="255"/>
        </xsd:restriction>
      </xsd:simpleType>
    </xsd:element>
    <xsd:element name="KHBLetzteGenehmigung" ma:index="13" nillable="true" ma:displayName="Letzte Genehmigung am" ma:format="DateOnly" ma:internalName="KHBLetzteGenehmigung">
      <xsd:simpleType>
        <xsd:restriction base="dms:DateTime"/>
      </xsd:simpleType>
    </xsd:element>
    <xsd:element name="KHB_Status" ma:index="14" nillable="true" ma:displayName="KHB Status" ma:default="Neu" ma:format="Dropdown" ma:internalName="KHB_Status">
      <xsd:simpleType>
        <xsd:restriction base="dms:Choice">
          <xsd:enumeration value="Neu"/>
          <xsd:enumeration value="in Prüfung"/>
          <xsd:enumeration value="in Genehmigung"/>
          <xsd:enumeration value="Genehmigt"/>
          <xsd:enumeration value="Abgelehnt"/>
        </xsd:restriction>
      </xsd:simpleType>
    </xsd:element>
    <xsd:element name="KHBDokumentenartTaxHTField0" ma:index="16" ma:taxonomy="true" ma:internalName="KHBDokumentenartTaxHTField0" ma:taxonomyFieldName="KHBDokumentenart" ma:displayName="Dokumentenart" ma:indexed="true" ma:readOnly="false" ma:default="" ma:fieldId="{23e981b8-f91f-4217-8daf-a413507c5e6a}" ma:sspId="3b356f4f-9e0a-477d-b0e5-a8223df53678" ma:termSetId="0d5e81bf-5cd1-47be-a642-33d10cab3a88" ma:anchorId="866c39fd-fbce-4c69-9d96-468b3eef65ad" ma:open="false" ma:isKeyword="false">
      <xsd:complexType>
        <xsd:sequence>
          <xsd:element ref="pc:Terms" minOccurs="0" maxOccurs="1"/>
        </xsd:sequence>
      </xsd:complexType>
    </xsd:element>
    <xsd:element name="KHBStelleTaxHTField0" ma:index="18" ma:taxonomy="true" ma:internalName="KHBStelleTaxHTField0" ma:taxonomyFieldName="KHBStelle" ma:displayName="Stelle" ma:readOnly="false" ma:default="" ma:fieldId="{35342673-e049-49d2-8c1a-94e416b91b38}" ma:taxonomyMulti="true" ma:sspId="3b356f4f-9e0a-477d-b0e5-a8223df53678" ma:termSetId="0d5e81bf-5cd1-47be-a642-33d10cab3a88" ma:anchorId="860a8300-c4ef-41eb-9a1d-ff653dafe496" ma:open="false" ma:isKeyword="false">
      <xsd:complexType>
        <xsd:sequence>
          <xsd:element ref="pc:Terms" minOccurs="0" maxOccurs="1"/>
        </xsd:sequence>
      </xsd:complexType>
    </xsd:element>
    <xsd:element name="KHBProduktbereicheTaxHTField0" ma:index="20" ma:taxonomy="true" ma:internalName="KHBProduktbereicheTaxHTField0" ma:taxonomyFieldName="KHBProduktbereiche" ma:displayName="Struktur KHB" ma:readOnly="false" ma:default="" ma:fieldId="{cb1e4da6-21a2-43bf-99f2-7b7ccd42a241}" ma:taxonomyMulti="true" ma:sspId="3b356f4f-9e0a-477d-b0e5-a8223df53678" ma:termSetId="2bd63278-500b-4df1-a8b6-0595c4e598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HBDokumentSpracheTaxHTField0" ma:index="22" ma:taxonomy="true" ma:internalName="KHBDokumentSpracheTaxHTField0" ma:taxonomyFieldName="KHBDokumentSprache" ma:displayName="Dokumentsprache" ma:readOnly="false" ma:default="" ma:fieldId="{e9333c74-828b-4636-b900-9ade91be680a}" ma:taxonomyMulti="true" ma:sspId="3b356f4f-9e0a-477d-b0e5-a8223df53678" ma:termSetId="0d5e81bf-5cd1-47be-a642-33d10cab3a88" ma:anchorId="7d4ff8e5-9e2a-433e-bf1d-1cfba646127d" ma:open="false" ma:isKeyword="false">
      <xsd:complexType>
        <xsd:sequence>
          <xsd:element ref="pc:Terms" minOccurs="0" maxOccurs="1"/>
        </xsd:sequence>
      </xsd:complexType>
    </xsd:element>
    <xsd:element name="KHBFirmaTaxHTField0" ma:index="24" ma:taxonomy="true" ma:internalName="KHBFirmaTaxHTField0" ma:taxonomyFieldName="KHBFirma" ma:displayName="Firma" ma:readOnly="false" ma:default="" ma:fieldId="{7056aa6f-355d-458a-b53f-58360682dd5c}" ma:taxonomyMulti="true" ma:sspId="3b356f4f-9e0a-477d-b0e5-a8223df53678" ma:termSetId="0d5e81bf-5cd1-47be-a642-33d10cab3a88" ma:anchorId="be1307d2-8577-44bf-923b-d20ca2fa2f8d" ma:open="false" ma:isKeyword="false">
      <xsd:complexType>
        <xsd:sequence>
          <xsd:element ref="pc:Terms" minOccurs="0" maxOccurs="1"/>
        </xsd:sequence>
      </xsd:complexType>
    </xsd:element>
    <xsd:element name="KHBVertraulichkeitTaxHTField0" ma:index="35" ma:taxonomy="true" ma:internalName="KHBVertraulichkeitTaxHTField0" ma:taxonomyFieldName="KHBVertraulichkeit" ma:displayName="Vertraulichkeitsklasse" ma:default="" ma:fieldId="{4c6e679c-8ade-40e3-926f-94ecfdc1557d}" ma:sspId="3b356f4f-9e0a-477d-b0e5-a8223df53678" ma:termSetId="0d5e81bf-5cd1-47be-a642-33d10cab3a88" ma:anchorId="338dcfc7-7234-4859-a1d9-ce929b3788c3" ma:open="false" ma:isKeyword="false">
      <xsd:complexType>
        <xsd:sequence>
          <xsd:element ref="pc:Terms" minOccurs="0" maxOccurs="1"/>
        </xsd:sequence>
      </xsd:complexType>
    </xsd:element>
    <xsd:element name="G_x00fc_ltigkeit_x0020_bis" ma:index="36" nillable="true" ma:displayName="Gültigkeit bis" ma:format="DateOnly" ma:internalName="G_x00fc_ltigkeit_x0020_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35a45-5d4a-4b51-b3c9-9fb22c47900e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462a6e03-e4c3-45e5-a167-6b15fe54dd60}" ma:internalName="TaxCatchAll" ma:showField="CatchAllData" ma:web="ff535a45-5d4a-4b51-b3c9-9fb22c479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Inhaltstyp"/>
        <xsd:element ref="dc:title" minOccurs="0" maxOccurs="1" ma:index="1" ma:displayName="Grundlag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p:Policy xmlns:p="office.server.policy" id="" local="true">
  <p:Name>TÜV-KHB-Dokument</p:Name>
  <p:Description/>
  <p:Statement/>
  <p:PolicyItems>
    <p:PolicyItem featureId="Microsoft.Office.RecordsManagement.PolicyFeatures.Expiration" staticId="0x0101000F0F40A61E79486BA522E556366FC50600D69DC16813CCAC4199E3748EC41310F8|954949083" UniqueId="3bdedc42-800b-4553-a32b-c4aadd7f3299">
      <p:Name>Retention</p:Name>
      <p:Description>Automatic scheduling of content for processing, and performing a retention action on content that has reached its due date.</p:Description>
      <p:CustomData>
        <Schedules nextStageId="3" default="false">
          <Schedule type="Default">
            <stages/>
          </Schedule>
          <Schedule type="Record">
            <stages>
              <data stageId="1">
                <formula id="Microsoft.Office.RecordsManagement.PolicyFeatures.Expiration.Formula.BuiltIn">
                  <number>0</number>
                  <property>_vti_ItemDeclaredRecord</property>
                  <propertyId>f9a44731-84eb-43a4-9973-cd2953ad8646</propertyId>
                  <period>days</period>
                </formula>
                <action type="action" id="Microsoft.Office.RecordsManagement.PolicyFeatures.Expiration.Action.SubmitFileCopy" destnExplanation="Transferred due to organizational policy" destnId="df2c2317-87ae-44b2-b8ad-9bbe479565cf" destnName="KHB-Archiv" destnUrl="https://portal.tuev.at/sites/khbArchiv/_vti_bin/OfficialFile.asmx"/>
              </data>
              <data stageId="2">
                <formula id="Microsoft.Office.RecordsManagement.PolicyFeatures.Expiration.Formula.BuiltIn">
                  <number>5</number>
                  <property>KHBLetzteGenehmigung</property>
                  <propertyId>992c2c04-de43-4002-b7b1-d8573c69f232</propertyId>
                  <period>years</period>
                </formula>
                <action type="workflow" id="722df3cc-9316-4e79-bec0-87bb6aafc693"/>
              </data>
            </stages>
          </Schedule>
        </Schedules>
      </p:CustomData>
    </p:PolicyItem>
  </p:PolicyItems>
</p: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DD73B-DF75-4206-A207-1515580D19BD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6F732829-8CAD-4FBD-8C29-A8D22F30366A}">
  <ds:schemaRefs>
    <ds:schemaRef ds:uri="http://schemas.microsoft.com/office/2006/metadata/properties"/>
    <ds:schemaRef ds:uri="http://schemas.microsoft.com/office/infopath/2007/PartnerControls"/>
    <ds:schemaRef ds:uri="ff535a45-5d4a-4b51-b3c9-9fb22c47900e"/>
    <ds:schemaRef ds:uri="c00a56e6-7cd9-4ba5-b32c-fa56f30030d6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8B0DA6A-835B-4E8E-8E66-F02FFCEA5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0a56e6-7cd9-4ba5-b32c-fa56f30030d6"/>
    <ds:schemaRef ds:uri="ff535a45-5d4a-4b51-b3c9-9fb22c4790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507BD3-61D2-4B00-AC0B-8C66FAA3736D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524EE795-28AA-4131-9836-470180433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Evagelia Giannakopoulou</dc:creator>
  <cp:keywords/>
  <dc:description/>
  <cp:lastModifiedBy>Chourdaki Antonia</cp:lastModifiedBy>
  <cp:revision>8</cp:revision>
  <cp:lastPrinted>2024-07-05T10:00:00Z</cp:lastPrinted>
  <dcterms:created xsi:type="dcterms:W3CDTF">2020-05-15T13:04:00Z</dcterms:created>
  <dcterms:modified xsi:type="dcterms:W3CDTF">2024-07-22T08:51:00Z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0x0101000F0F40A61E79486BA522E556366FC50600D69DC16813CCAC4199E3748EC41310F8</vt:lpwstr>
  </property>
  <property fmtid="{D5CDD505-2E9C-101B-9397-08002B2CF9AE}" pid="3" name="_dlc_policyId">
    <vt:lpwstr>0x0101000F0F40A61E79486BA522E556366FC50600D69DC16813CCAC4199E3748EC41310F8|954949083</vt:lpwstr>
  </property>
  <property fmtid="{D5CDD505-2E9C-101B-9397-08002B2CF9AE}" pid="4" name="ItemRetentionFormula">
    <vt:lpwstr>&lt;formula id="Microsoft.Office.RecordsManagement.PolicyFeatures.Expiration.Formula.BuiltIn"&gt;&lt;number&gt;5&lt;/number&gt;&lt;property&gt;KHBLetzteGenehmigung&lt;/property&gt;&lt;propertyId&gt;992c2c04-de43-4002-b7b1-d8573c69f232&lt;/propertyId&gt;&lt;period&gt;years&lt;/period&gt;&lt;/formula&gt;</vt:lpwstr>
  </property>
  <property fmtid="{D5CDD505-2E9C-101B-9397-08002B2CF9AE}" pid="5" name="KHBProduktbereiche">
    <vt:lpwstr>971;#Procedures|836d8b0b-a68d-4993-9cdd-967439f5055a</vt:lpwstr>
  </property>
  <property fmtid="{D5CDD505-2E9C-101B-9397-08002B2CF9AE}" pid="6" name="KHBStelle">
    <vt:lpwstr>187;#MsZ (Managementsystem-Zertifizierung)|596843ea-554c-41dc-9f0a-3f7f0b14eee1</vt:lpwstr>
  </property>
  <property fmtid="{D5CDD505-2E9C-101B-9397-08002B2CF9AE}" pid="7" name="KHBVertraulichkeit">
    <vt:lpwstr>8;#intern|5e7178bd-2288-4456-a89a-6593a769b5ce</vt:lpwstr>
  </property>
  <property fmtid="{D5CDD505-2E9C-101B-9397-08002B2CF9AE}" pid="8" name="KHBDokumentSprache">
    <vt:lpwstr>18;#englisch|bf69c23f-91f4-4295-8ea7-b6bbb1f528c0</vt:lpwstr>
  </property>
  <property fmtid="{D5CDD505-2E9C-101B-9397-08002B2CF9AE}" pid="9" name="KHBDokumentenart">
    <vt:lpwstr>14;#VB (Verfahrensbeschreibung)|fec370b3-f5c8-4adc-a872-0ed54d1e3850</vt:lpwstr>
  </property>
  <property fmtid="{D5CDD505-2E9C-101B-9397-08002B2CF9AE}" pid="10" name="KHBFirma">
    <vt:lpwstr>54;#TÜV AUSTRIA HELLAS Ltd.|82aeaaff-8348-40bf-b779-024b0ea58e40</vt:lpwstr>
  </property>
  <property fmtid="{D5CDD505-2E9C-101B-9397-08002B2CF9AE}" pid="11" name="WorkflowChangePath">
    <vt:lpwstr>722df3cc-9316-4e79-bec0-87bb6aafc693,8;722df3cc-9316-4e79-bec0-87bb6aafc693,11;722df3cc-9316-4e79-bec0-87bb6aafc693,13;722df3cc-9316-4e79-bec0-87bb6aafc693,15;722df3cc-9316-4e79-bec0-87bb6aafc693,17;722df3cc-9316-4e79-bec0-87bb6aafc693,17;722df3cc-9316-4e79-bec0-87bb6aafc693,17;</vt:lpwstr>
  </property>
  <property fmtid="{D5CDD505-2E9C-101B-9397-08002B2CF9AE}" pid="12" name="ecm_ItemDeleteBlockHolders">
    <vt:lpwstr>ecm_InPlaceRecordLock</vt:lpwstr>
  </property>
  <property fmtid="{D5CDD505-2E9C-101B-9397-08002B2CF9AE}" pid="13" name="_dlc_ItemStageId">
    <vt:lpwstr>1</vt:lpwstr>
  </property>
  <property fmtid="{D5CDD505-2E9C-101B-9397-08002B2CF9AE}" pid="14" name="ecm_RecordRestrictions">
    <vt:lpwstr>BlockDelete, BlockEdit</vt:lpwstr>
  </property>
  <property fmtid="{D5CDD505-2E9C-101B-9397-08002B2CF9AE}" pid="15" name="ecm_ItemLockHolders">
    <vt:lpwstr>ecm_InPlaceRecordLock</vt:lpwstr>
  </property>
  <property fmtid="{D5CDD505-2E9C-101B-9397-08002B2CF9AE}" pid="16" name="_dlc_ItemScheduleId">
    <vt:lpwstr>1</vt:lpwstr>
  </property>
  <property fmtid="{D5CDD505-2E9C-101B-9397-08002B2CF9AE}" pid="17" name="_dlc_LastRun">
    <vt:lpwstr>02/23/2021 04:10:18</vt:lpwstr>
  </property>
  <property fmtid="{D5CDD505-2E9C-101B-9397-08002B2CF9AE}" pid="18" name="MSIP_Label_67c4d457-f809-4aad-82ba-0a5c5b17b8ca_Enabled">
    <vt:lpwstr>true</vt:lpwstr>
  </property>
  <property fmtid="{D5CDD505-2E9C-101B-9397-08002B2CF9AE}" pid="19" name="MSIP_Label_67c4d457-f809-4aad-82ba-0a5c5b17b8ca_SetDate">
    <vt:lpwstr>2024-07-04T14:28:41Z</vt:lpwstr>
  </property>
  <property fmtid="{D5CDD505-2E9C-101B-9397-08002B2CF9AE}" pid="20" name="MSIP_Label_67c4d457-f809-4aad-82ba-0a5c5b17b8ca_Method">
    <vt:lpwstr>Privileged</vt:lpwstr>
  </property>
  <property fmtid="{D5CDD505-2E9C-101B-9397-08002B2CF9AE}" pid="21" name="MSIP_Label_67c4d457-f809-4aad-82ba-0a5c5b17b8ca_Name">
    <vt:lpwstr>Internal</vt:lpwstr>
  </property>
  <property fmtid="{D5CDD505-2E9C-101B-9397-08002B2CF9AE}" pid="22" name="MSIP_Label_67c4d457-f809-4aad-82ba-0a5c5b17b8ca_SiteId">
    <vt:lpwstr>9bca2438-3ff2-47b0-bede-2efe38e71067</vt:lpwstr>
  </property>
  <property fmtid="{D5CDD505-2E9C-101B-9397-08002B2CF9AE}" pid="23" name="MSIP_Label_67c4d457-f809-4aad-82ba-0a5c5b17b8ca_ActionId">
    <vt:lpwstr>56391df6-d6c6-4082-a795-977727fed1db</vt:lpwstr>
  </property>
  <property fmtid="{D5CDD505-2E9C-101B-9397-08002B2CF9AE}" pid="24" name="MSIP_Label_67c4d457-f809-4aad-82ba-0a5c5b17b8ca_ContentBits">
    <vt:lpwstr>0</vt:lpwstr>
  </property>
</Properties>
</file>